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2DBE889F" w:rsidR="00904D6D" w:rsidRPr="001D4786" w:rsidRDefault="00A27C7D" w:rsidP="00956EB6">
      <w:pPr>
        <w:pStyle w:val="Title"/>
        <w:rPr>
          <w:rFonts w:ascii="Arial" w:hAnsi="Arial" w:cs="Arial"/>
          <w:sz w:val="32"/>
          <w:szCs w:val="32"/>
        </w:rPr>
      </w:pPr>
      <w:bookmarkStart w:id="0" w:name="_Hlk78354194"/>
      <w:r w:rsidRPr="00A27C7D">
        <w:rPr>
          <w:rFonts w:ascii="Arial" w:hAnsi="Arial" w:cs="Arial"/>
          <w:sz w:val="32"/>
          <w:szCs w:val="32"/>
          <w:lang w:val="en-ID"/>
        </w:rPr>
        <w:t xml:space="preserve">Problems </w:t>
      </w:r>
      <w:r w:rsidR="007B2626" w:rsidRPr="00A27C7D">
        <w:rPr>
          <w:rFonts w:ascii="Arial" w:hAnsi="Arial" w:cs="Arial"/>
          <w:sz w:val="32"/>
          <w:szCs w:val="32"/>
          <w:lang w:val="en-ID"/>
        </w:rPr>
        <w:t xml:space="preserve">in the application of </w:t>
      </w:r>
      <w:proofErr w:type="spellStart"/>
      <w:r w:rsidR="007B2626" w:rsidRPr="00A27C7D">
        <w:rPr>
          <w:rFonts w:ascii="Arial" w:hAnsi="Arial" w:cs="Arial"/>
          <w:sz w:val="32"/>
          <w:szCs w:val="32"/>
          <w:lang w:val="en-ID"/>
        </w:rPr>
        <w:t>islamic</w:t>
      </w:r>
      <w:proofErr w:type="spellEnd"/>
      <w:r w:rsidR="007B2626" w:rsidRPr="00A27C7D">
        <w:rPr>
          <w:rFonts w:ascii="Arial" w:hAnsi="Arial" w:cs="Arial"/>
          <w:sz w:val="32"/>
          <w:szCs w:val="32"/>
          <w:lang w:val="en-ID"/>
        </w:rPr>
        <w:t xml:space="preserve"> law regarding children who engage in online trading</w:t>
      </w:r>
      <w:bookmarkEnd w:id="0"/>
    </w:p>
    <w:p w14:paraId="370C47FE" w14:textId="77777777" w:rsidR="005E51F9" w:rsidRPr="001D4786" w:rsidRDefault="005E51F9" w:rsidP="007F6A77">
      <w:pPr>
        <w:rPr>
          <w:rFonts w:ascii="Arial" w:hAnsi="Arial" w:cs="Arial"/>
          <w:b/>
          <w:bCs/>
        </w:rPr>
      </w:pPr>
    </w:p>
    <w:p w14:paraId="289271AB" w14:textId="5AA1E483" w:rsidR="00BC03E2" w:rsidRPr="00B06A05" w:rsidRDefault="007F6A77" w:rsidP="00BC03E2">
      <w:pPr>
        <w:jc w:val="center"/>
        <w:rPr>
          <w:rFonts w:ascii="Arial" w:hAnsi="Arial" w:cs="Arial"/>
          <w:b/>
          <w:bCs/>
        </w:rPr>
      </w:pPr>
      <w:r>
        <w:rPr>
          <w:rFonts w:ascii="Arial" w:hAnsi="Arial" w:cs="Arial"/>
          <w:b/>
          <w:bCs/>
        </w:rPr>
        <w:t>Talitha Rahma</w:t>
      </w:r>
      <w:r w:rsidR="00BC03E2" w:rsidRPr="001D4786">
        <w:rPr>
          <w:rFonts w:ascii="Arial" w:hAnsi="Arial" w:cs="Arial"/>
          <w:b/>
          <w:bCs/>
          <w:vertAlign w:val="superscript"/>
        </w:rPr>
        <w:t>1</w:t>
      </w:r>
      <w:r w:rsidR="00BC03E2" w:rsidRPr="001D4786">
        <w:rPr>
          <w:rFonts w:ascii="Arial" w:hAnsi="Arial" w:cs="Arial"/>
          <w:b/>
          <w:bCs/>
          <w:lang w:val="id-ID"/>
        </w:rPr>
        <w:t xml:space="preserve">, </w:t>
      </w:r>
      <w:proofErr w:type="spellStart"/>
      <w:r>
        <w:rPr>
          <w:rFonts w:ascii="Arial" w:hAnsi="Arial" w:cs="Arial"/>
          <w:b/>
          <w:bCs/>
        </w:rPr>
        <w:t>Dhofirul</w:t>
      </w:r>
      <w:proofErr w:type="spellEnd"/>
      <w:r>
        <w:rPr>
          <w:rFonts w:ascii="Arial" w:hAnsi="Arial" w:cs="Arial"/>
          <w:b/>
          <w:bCs/>
        </w:rPr>
        <w:t xml:space="preserve"> Yahya</w:t>
      </w:r>
      <w:r w:rsidR="00BC03E2" w:rsidRPr="001D4786">
        <w:rPr>
          <w:rFonts w:ascii="Arial" w:hAnsi="Arial" w:cs="Arial"/>
          <w:b/>
          <w:bCs/>
          <w:vertAlign w:val="superscript"/>
        </w:rPr>
        <w:t>2</w:t>
      </w:r>
      <w:r w:rsidR="00BC03E2" w:rsidRPr="001D4786">
        <w:rPr>
          <w:rFonts w:ascii="Arial" w:hAnsi="Arial" w:cs="Arial"/>
          <w:b/>
          <w:bCs/>
        </w:rPr>
        <w:t xml:space="preserve">, </w:t>
      </w:r>
      <w:r w:rsidRPr="007F6A77">
        <w:rPr>
          <w:rFonts w:ascii="Arial" w:hAnsi="Arial" w:cs="Arial"/>
          <w:b/>
          <w:bCs/>
        </w:rPr>
        <w:t>Bambang Panji Gunawan</w:t>
      </w:r>
      <w:r w:rsidR="00254ACF" w:rsidRPr="00254ACF">
        <w:rPr>
          <w:rFonts w:ascii="Arial" w:hAnsi="Arial" w:cs="Arial"/>
          <w:b/>
          <w:bCs/>
          <w:vertAlign w:val="superscript"/>
        </w:rPr>
        <w:t>3</w:t>
      </w:r>
      <w:r w:rsidR="00071789">
        <w:rPr>
          <w:rFonts w:ascii="Arial" w:hAnsi="Arial" w:cs="Arial"/>
          <w:b/>
          <w:bCs/>
        </w:rPr>
        <w:t xml:space="preserve">, </w:t>
      </w:r>
      <w:r w:rsidR="00B06A05">
        <w:rPr>
          <w:rFonts w:ascii="Arial" w:hAnsi="Arial" w:cs="Arial"/>
          <w:b/>
          <w:bCs/>
        </w:rPr>
        <w:t>Fajar Rachmad Dwi Miarsa</w:t>
      </w:r>
      <w:r w:rsidR="00B06A05" w:rsidRPr="00B06A05">
        <w:rPr>
          <w:rFonts w:ascii="Arial" w:hAnsi="Arial" w:cs="Arial"/>
          <w:b/>
          <w:bCs/>
          <w:vertAlign w:val="superscript"/>
        </w:rPr>
        <w:t>4</w:t>
      </w:r>
      <w:r w:rsidR="00B06A05">
        <w:rPr>
          <w:rFonts w:ascii="Arial" w:hAnsi="Arial" w:cs="Arial"/>
          <w:b/>
          <w:bCs/>
        </w:rPr>
        <w:t xml:space="preserve">, </w:t>
      </w:r>
      <w:r w:rsidR="00071789">
        <w:rPr>
          <w:rFonts w:ascii="Arial" w:hAnsi="Arial" w:cs="Arial"/>
          <w:b/>
          <w:bCs/>
        </w:rPr>
        <w:t>Ahmad Heru Romadhon</w:t>
      </w:r>
      <w:r w:rsidR="00B06A05">
        <w:rPr>
          <w:rFonts w:ascii="Arial" w:hAnsi="Arial" w:cs="Arial"/>
          <w:b/>
          <w:bCs/>
          <w:vertAlign w:val="superscript"/>
        </w:rPr>
        <w:t>5</w:t>
      </w:r>
    </w:p>
    <w:p w14:paraId="7ACD78EF" w14:textId="02C2E0BB" w:rsidR="0078257B" w:rsidRPr="0078257B" w:rsidRDefault="0078257B" w:rsidP="00071789">
      <w:pPr>
        <w:jc w:val="center"/>
        <w:rPr>
          <w:rFonts w:ascii="Arial" w:hAnsi="Arial" w:cs="Arial"/>
          <w:sz w:val="16"/>
          <w:szCs w:val="16"/>
        </w:rPr>
      </w:pPr>
      <w:r w:rsidRPr="0078257B">
        <w:rPr>
          <w:rFonts w:ascii="Arial" w:hAnsi="Arial" w:cs="Arial"/>
          <w:sz w:val="16"/>
          <w:szCs w:val="16"/>
          <w:vertAlign w:val="superscript"/>
        </w:rPr>
        <w:t>1</w:t>
      </w:r>
      <w:r w:rsidR="00071789">
        <w:rPr>
          <w:rFonts w:ascii="Arial" w:hAnsi="Arial" w:cs="Arial"/>
          <w:sz w:val="16"/>
          <w:szCs w:val="16"/>
          <w:vertAlign w:val="superscript"/>
        </w:rPr>
        <w:t>,2,3,4</w:t>
      </w:r>
      <w:r w:rsidR="007F6A77">
        <w:rPr>
          <w:rFonts w:ascii="Arial" w:hAnsi="Arial" w:cs="Arial"/>
          <w:sz w:val="16"/>
          <w:szCs w:val="16"/>
        </w:rPr>
        <w:t xml:space="preserve">Fakultas Hukum, </w:t>
      </w:r>
      <w:r w:rsidR="00071789" w:rsidRPr="00071789">
        <w:rPr>
          <w:rFonts w:ascii="Arial" w:hAnsi="Arial" w:cs="Arial"/>
          <w:sz w:val="16"/>
          <w:szCs w:val="16"/>
        </w:rPr>
        <w:t>Universitas</w:t>
      </w:r>
      <w:r w:rsidR="00071789">
        <w:rPr>
          <w:rFonts w:ascii="Arial" w:hAnsi="Arial" w:cs="Arial"/>
          <w:sz w:val="16"/>
          <w:szCs w:val="16"/>
        </w:rPr>
        <w:t xml:space="preserve"> Maarif Hasyim Latif, </w:t>
      </w:r>
      <w:proofErr w:type="spellStart"/>
      <w:r w:rsidR="007F6A77">
        <w:rPr>
          <w:rFonts w:ascii="Arial" w:hAnsi="Arial" w:cs="Arial"/>
          <w:sz w:val="16"/>
          <w:szCs w:val="16"/>
        </w:rPr>
        <w:t>Sidoarjo</w:t>
      </w:r>
      <w:proofErr w:type="spellEnd"/>
      <w:r w:rsidR="007F6A77">
        <w:rPr>
          <w:rFonts w:ascii="Arial" w:hAnsi="Arial" w:cs="Arial"/>
          <w:sz w:val="16"/>
          <w:szCs w:val="16"/>
        </w:rPr>
        <w:t>, Indonesia</w:t>
      </w:r>
    </w:p>
    <w:p w14:paraId="3610C5E6" w14:textId="77777777" w:rsidR="006B69CE" w:rsidRPr="001D4786" w:rsidRDefault="006B69CE" w:rsidP="00A27C7D">
      <w:pPr>
        <w:rPr>
          <w:rFonts w:ascii="Arial" w:hAnsi="Arial" w:cs="Arial"/>
        </w:rPr>
      </w:pPr>
    </w:p>
    <w:tbl>
      <w:tblPr>
        <w:tblStyle w:val="TableGrid"/>
        <w:tblW w:w="8845" w:type="dxa"/>
        <w:jc w:val="center"/>
        <w:tblLook w:val="04A0" w:firstRow="1" w:lastRow="0" w:firstColumn="1" w:lastColumn="0" w:noHBand="0" w:noVBand="1"/>
      </w:tblPr>
      <w:tblGrid>
        <w:gridCol w:w="2787"/>
        <w:gridCol w:w="283"/>
        <w:gridCol w:w="5775"/>
      </w:tblGrid>
      <w:tr w:rsidR="006B027E" w:rsidRPr="001D4786"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1D4786" w:rsidRDefault="00957C11" w:rsidP="00957C11">
            <w:pPr>
              <w:spacing w:before="120"/>
              <w:jc w:val="both"/>
              <w:rPr>
                <w:rFonts w:ascii="Arial" w:hAnsi="Arial" w:cs="Arial"/>
                <w:b/>
              </w:rPr>
            </w:pPr>
            <w:r w:rsidRPr="001D4786">
              <w:rPr>
                <w:rFonts w:ascii="Arial" w:hAnsi="Arial" w:cs="Arial"/>
                <w:b/>
              </w:rPr>
              <w:t>Article Info</w:t>
            </w:r>
          </w:p>
        </w:tc>
        <w:tc>
          <w:tcPr>
            <w:tcW w:w="283" w:type="dxa"/>
            <w:tcBorders>
              <w:top w:val="double" w:sz="4" w:space="0" w:color="auto"/>
              <w:left w:val="nil"/>
              <w:bottom w:val="nil"/>
              <w:right w:val="nil"/>
            </w:tcBorders>
          </w:tcPr>
          <w:p w14:paraId="3E270EF1" w14:textId="77777777" w:rsidR="00957C11" w:rsidRPr="001D4786" w:rsidRDefault="00957C11" w:rsidP="00957C11">
            <w:pPr>
              <w:spacing w:before="120"/>
              <w:jc w:val="center"/>
              <w:rPr>
                <w:rFonts w:ascii="Arial" w:hAnsi="Arial" w:cs="Arial"/>
              </w:rPr>
            </w:pPr>
          </w:p>
        </w:tc>
        <w:tc>
          <w:tcPr>
            <w:tcW w:w="5812" w:type="dxa"/>
            <w:tcBorders>
              <w:top w:val="double" w:sz="4" w:space="0" w:color="auto"/>
              <w:left w:val="nil"/>
              <w:bottom w:val="single" w:sz="4" w:space="0" w:color="auto"/>
              <w:right w:val="nil"/>
            </w:tcBorders>
          </w:tcPr>
          <w:p w14:paraId="7B74F735" w14:textId="35EF8237" w:rsidR="00957C11" w:rsidRPr="001D4786" w:rsidRDefault="00957C11" w:rsidP="00957C11">
            <w:pPr>
              <w:spacing w:before="120"/>
              <w:rPr>
                <w:rFonts w:ascii="Arial" w:hAnsi="Arial" w:cs="Arial"/>
                <w:color w:val="000000"/>
                <w:sz w:val="24"/>
                <w:szCs w:val="24"/>
              </w:rPr>
            </w:pPr>
            <w:r w:rsidRPr="001D4786">
              <w:rPr>
                <w:rFonts w:ascii="Arial" w:hAnsi="Arial" w:cs="Arial"/>
                <w:b/>
                <w:bCs/>
                <w:iCs/>
                <w:color w:val="000000"/>
              </w:rPr>
              <w:t>ABSTRACT</w:t>
            </w:r>
          </w:p>
        </w:tc>
      </w:tr>
      <w:tr w:rsidR="00941203" w:rsidRPr="001D4786"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E57BBE" w:rsidRDefault="00941203" w:rsidP="00941203">
            <w:pPr>
              <w:spacing w:before="120" w:after="120"/>
              <w:jc w:val="both"/>
              <w:rPr>
                <w:rFonts w:ascii="Arial" w:hAnsi="Arial" w:cs="Arial"/>
                <w:b/>
                <w:i/>
                <w:sz w:val="18"/>
                <w:szCs w:val="18"/>
              </w:rPr>
            </w:pPr>
            <w:r w:rsidRPr="00E57BBE">
              <w:rPr>
                <w:rFonts w:ascii="Arial" w:hAnsi="Arial" w:cs="Arial"/>
                <w:b/>
                <w:i/>
                <w:sz w:val="18"/>
                <w:szCs w:val="18"/>
              </w:rPr>
              <w:t>Article history:</w:t>
            </w:r>
          </w:p>
          <w:p w14:paraId="16FB7F1A" w14:textId="1C7CA320" w:rsidR="007B2626" w:rsidRPr="00E57BBE" w:rsidRDefault="007B2626" w:rsidP="007B2626">
            <w:pPr>
              <w:jc w:val="both"/>
              <w:rPr>
                <w:rFonts w:ascii="Arial" w:hAnsi="Arial" w:cs="Arial"/>
                <w:sz w:val="18"/>
                <w:szCs w:val="18"/>
              </w:rPr>
            </w:pPr>
            <w:r w:rsidRPr="00E57BBE">
              <w:rPr>
                <w:rFonts w:ascii="Arial" w:hAnsi="Arial" w:cs="Arial"/>
                <w:sz w:val="18"/>
                <w:szCs w:val="18"/>
              </w:rPr>
              <w:t>Received</w:t>
            </w:r>
            <w:r>
              <w:rPr>
                <w:rFonts w:ascii="Arial" w:hAnsi="Arial" w:cs="Arial"/>
                <w:sz w:val="18"/>
                <w:szCs w:val="18"/>
              </w:rPr>
              <w:t>: 1</w:t>
            </w:r>
            <w:r>
              <w:rPr>
                <w:rFonts w:ascii="Arial" w:hAnsi="Arial" w:cs="Arial"/>
                <w:sz w:val="18"/>
                <w:szCs w:val="18"/>
              </w:rPr>
              <w:t>5</w:t>
            </w:r>
            <w:r w:rsidRPr="00E57BBE">
              <w:rPr>
                <w:rFonts w:ascii="Arial" w:hAnsi="Arial" w:cs="Arial"/>
                <w:sz w:val="18"/>
                <w:szCs w:val="18"/>
              </w:rPr>
              <w:t xml:space="preserve"> </w:t>
            </w:r>
            <w:r>
              <w:rPr>
                <w:rFonts w:ascii="Arial" w:hAnsi="Arial" w:cs="Arial"/>
                <w:sz w:val="18"/>
                <w:szCs w:val="18"/>
              </w:rPr>
              <w:t>Juli</w:t>
            </w:r>
            <w:r w:rsidRPr="00E57BBE">
              <w:rPr>
                <w:rFonts w:ascii="Arial" w:hAnsi="Arial" w:cs="Arial"/>
                <w:sz w:val="18"/>
                <w:szCs w:val="18"/>
              </w:rPr>
              <w:t xml:space="preserve">, </w:t>
            </w:r>
            <w:r>
              <w:rPr>
                <w:rFonts w:ascii="Arial" w:hAnsi="Arial" w:cs="Arial"/>
                <w:sz w:val="18"/>
                <w:szCs w:val="18"/>
              </w:rPr>
              <w:t>2025</w:t>
            </w:r>
          </w:p>
          <w:p w14:paraId="4947CCDB" w14:textId="7DF4349C" w:rsidR="007B2626" w:rsidRPr="00E57BBE" w:rsidRDefault="007B2626" w:rsidP="007B2626">
            <w:pPr>
              <w:jc w:val="both"/>
              <w:rPr>
                <w:rFonts w:ascii="Arial" w:hAnsi="Arial" w:cs="Arial"/>
                <w:sz w:val="18"/>
                <w:szCs w:val="18"/>
              </w:rPr>
            </w:pPr>
            <w:r w:rsidRPr="00E57BBE">
              <w:rPr>
                <w:rFonts w:ascii="Arial" w:hAnsi="Arial" w:cs="Arial"/>
                <w:sz w:val="18"/>
                <w:szCs w:val="18"/>
              </w:rPr>
              <w:t>Revised</w:t>
            </w:r>
            <w:r>
              <w:rPr>
                <w:rFonts w:ascii="Arial" w:hAnsi="Arial" w:cs="Arial"/>
                <w:sz w:val="18"/>
                <w:szCs w:val="18"/>
              </w:rPr>
              <w:t xml:space="preserve">: </w:t>
            </w:r>
            <w:r>
              <w:rPr>
                <w:rFonts w:ascii="Arial" w:hAnsi="Arial" w:cs="Arial"/>
                <w:sz w:val="18"/>
                <w:szCs w:val="18"/>
              </w:rPr>
              <w:t>19</w:t>
            </w:r>
            <w:r w:rsidRPr="00E57BBE">
              <w:rPr>
                <w:rFonts w:ascii="Arial" w:hAnsi="Arial" w:cs="Arial"/>
                <w:sz w:val="18"/>
                <w:szCs w:val="18"/>
              </w:rPr>
              <w:t xml:space="preserve"> </w:t>
            </w:r>
            <w:r>
              <w:rPr>
                <w:rFonts w:ascii="Arial" w:hAnsi="Arial" w:cs="Arial"/>
                <w:sz w:val="18"/>
                <w:szCs w:val="18"/>
              </w:rPr>
              <w:t>Juli</w:t>
            </w:r>
            <w:r w:rsidRPr="00E57BBE">
              <w:rPr>
                <w:rFonts w:ascii="Arial" w:hAnsi="Arial" w:cs="Arial"/>
                <w:sz w:val="18"/>
                <w:szCs w:val="18"/>
              </w:rPr>
              <w:t xml:space="preserve">, </w:t>
            </w:r>
            <w:r>
              <w:rPr>
                <w:rFonts w:ascii="Arial" w:hAnsi="Arial" w:cs="Arial"/>
                <w:sz w:val="18"/>
                <w:szCs w:val="18"/>
              </w:rPr>
              <w:t>2025</w:t>
            </w:r>
          </w:p>
          <w:p w14:paraId="375A1808" w14:textId="628AC12D" w:rsidR="00941203" w:rsidRPr="00E57BBE" w:rsidRDefault="007B2626" w:rsidP="007B2626">
            <w:pPr>
              <w:jc w:val="both"/>
              <w:rPr>
                <w:rFonts w:ascii="Arial" w:hAnsi="Arial" w:cs="Arial"/>
                <w:sz w:val="18"/>
                <w:szCs w:val="18"/>
              </w:rPr>
            </w:pPr>
            <w:r w:rsidRPr="00E57BBE">
              <w:rPr>
                <w:rFonts w:ascii="Arial" w:hAnsi="Arial" w:cs="Arial"/>
                <w:sz w:val="18"/>
                <w:szCs w:val="18"/>
              </w:rPr>
              <w:t>Accepted</w:t>
            </w:r>
            <w:r>
              <w:rPr>
                <w:rFonts w:ascii="Arial" w:hAnsi="Arial" w:cs="Arial"/>
                <w:sz w:val="18"/>
                <w:szCs w:val="18"/>
              </w:rPr>
              <w:t>: 30</w:t>
            </w:r>
            <w:r w:rsidRPr="00E57BBE">
              <w:rPr>
                <w:rFonts w:ascii="Arial" w:hAnsi="Arial" w:cs="Arial"/>
                <w:sz w:val="18"/>
                <w:szCs w:val="18"/>
              </w:rPr>
              <w:t xml:space="preserve"> </w:t>
            </w:r>
            <w:r>
              <w:rPr>
                <w:rFonts w:ascii="Arial" w:hAnsi="Arial" w:cs="Arial"/>
                <w:sz w:val="18"/>
                <w:szCs w:val="18"/>
              </w:rPr>
              <w:t>Juli</w:t>
            </w:r>
            <w:r w:rsidRPr="00E57BBE">
              <w:rPr>
                <w:rFonts w:ascii="Arial" w:hAnsi="Arial" w:cs="Arial"/>
                <w:sz w:val="18"/>
                <w:szCs w:val="18"/>
              </w:rPr>
              <w:t xml:space="preserve">, </w:t>
            </w:r>
            <w:r>
              <w:rPr>
                <w:rFonts w:ascii="Arial" w:hAnsi="Arial" w:cs="Arial"/>
                <w:sz w:val="18"/>
                <w:szCs w:val="18"/>
              </w:rPr>
              <w:t>2025</w:t>
            </w:r>
          </w:p>
        </w:tc>
        <w:tc>
          <w:tcPr>
            <w:tcW w:w="283" w:type="dxa"/>
            <w:vMerge w:val="restart"/>
            <w:tcBorders>
              <w:top w:val="nil"/>
              <w:left w:val="nil"/>
              <w:bottom w:val="nil"/>
              <w:right w:val="nil"/>
            </w:tcBorders>
          </w:tcPr>
          <w:p w14:paraId="1658B743" w14:textId="77777777" w:rsidR="00941203" w:rsidRPr="001D4786" w:rsidRDefault="00941203" w:rsidP="00957C11">
            <w:pPr>
              <w:spacing w:before="120"/>
              <w:jc w:val="both"/>
              <w:rPr>
                <w:rFonts w:ascii="Arial" w:hAnsi="Arial" w:cs="Arial"/>
              </w:rPr>
            </w:pPr>
          </w:p>
        </w:tc>
        <w:tc>
          <w:tcPr>
            <w:tcW w:w="5812" w:type="dxa"/>
            <w:vMerge w:val="restart"/>
            <w:tcBorders>
              <w:top w:val="single" w:sz="4" w:space="0" w:color="auto"/>
              <w:left w:val="nil"/>
              <w:bottom w:val="nil"/>
              <w:right w:val="nil"/>
            </w:tcBorders>
          </w:tcPr>
          <w:p w14:paraId="63A93403" w14:textId="699B093F" w:rsidR="007F6A77" w:rsidRPr="007F6A77" w:rsidRDefault="00A27C7D" w:rsidP="007F6A77">
            <w:pPr>
              <w:pStyle w:val="BodyText"/>
              <w:spacing w:before="116"/>
              <w:ind w:right="138"/>
              <w:jc w:val="both"/>
              <w:rPr>
                <w:rFonts w:ascii="Arial" w:hAnsi="Arial" w:cs="Arial"/>
                <w:iCs/>
                <w:color w:val="000000"/>
                <w:sz w:val="18"/>
                <w:szCs w:val="18"/>
                <w:lang w:val="en-US" w:eastAsia="en-US"/>
              </w:rPr>
            </w:pPr>
            <w:r w:rsidRPr="00A27C7D">
              <w:rPr>
                <w:rFonts w:ascii="Arial" w:hAnsi="Arial" w:cs="Arial"/>
                <w:iCs/>
                <w:color w:val="000000"/>
                <w:sz w:val="18"/>
                <w:szCs w:val="18"/>
                <w:lang w:val="en-US" w:eastAsia="en-US"/>
              </w:rPr>
              <w:t>Various aspects of life have been transformed by advances in information and communication technology, including the way people purchase goods. With the emergence of e-commerce or online shopping, people now have new opportunities to conduct transactions that are easier and more practical. However, this convenience has given rise to many problems, one of which is how children use online shopping. Islamic law regulates buying and selling, including transactions conducted by children. The purpose of these regulations is to protect the rights and interests of all parties involved in the transaction. This study aims to identify the challenges in applying Islamic law regarding children engaging in online shopping. The research type is normative and socio-legal, employing a legal framework approach, a conceptual approach, and a comparative approach. Research data was obtained from literature reviews and analyses of relevant journals related to online transactions conducted by children. The legal materials analyzed were qualitative. The results of the study indicate that children who conduct transactions via the internet are considered invalid. However, such transactions may be considered valid if the child has reached the age of discernment</w:t>
            </w:r>
            <w:r w:rsidR="007F6A77" w:rsidRPr="007F6A77">
              <w:rPr>
                <w:rFonts w:ascii="Arial" w:hAnsi="Arial" w:cs="Arial"/>
                <w:iCs/>
                <w:color w:val="000000"/>
                <w:sz w:val="18"/>
                <w:szCs w:val="18"/>
                <w:lang w:val="en-US" w:eastAsia="en-US"/>
              </w:rPr>
              <w:t xml:space="preserve">. </w:t>
            </w:r>
          </w:p>
          <w:p w14:paraId="647B3C56" w14:textId="409557BA" w:rsidR="007F6A77" w:rsidRPr="001D4786" w:rsidRDefault="007F6A77" w:rsidP="007F6A77">
            <w:pPr>
              <w:spacing w:before="120"/>
              <w:jc w:val="both"/>
              <w:rPr>
                <w:rFonts w:ascii="Arial" w:hAnsi="Arial" w:cs="Arial"/>
              </w:rPr>
            </w:pPr>
          </w:p>
        </w:tc>
      </w:tr>
      <w:tr w:rsidR="00941203" w:rsidRPr="001D4786"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E57BBE" w:rsidRDefault="00941203" w:rsidP="00941203">
            <w:pPr>
              <w:spacing w:before="120" w:after="120"/>
              <w:jc w:val="both"/>
              <w:rPr>
                <w:rFonts w:ascii="Arial" w:hAnsi="Arial" w:cs="Arial"/>
                <w:b/>
                <w:i/>
                <w:sz w:val="18"/>
                <w:szCs w:val="18"/>
              </w:rPr>
            </w:pPr>
            <w:r w:rsidRPr="00E57BBE">
              <w:rPr>
                <w:rFonts w:ascii="Arial" w:hAnsi="Arial" w:cs="Arial"/>
                <w:b/>
                <w:i/>
                <w:sz w:val="18"/>
                <w:szCs w:val="18"/>
              </w:rPr>
              <w:t>Keyword</w:t>
            </w:r>
            <w:r w:rsidR="005160A8" w:rsidRPr="00E57BBE">
              <w:rPr>
                <w:rFonts w:ascii="Arial" w:hAnsi="Arial" w:cs="Arial"/>
                <w:b/>
                <w:i/>
                <w:sz w:val="18"/>
                <w:szCs w:val="18"/>
              </w:rPr>
              <w:t>s</w:t>
            </w:r>
            <w:r w:rsidRPr="00E57BBE">
              <w:rPr>
                <w:rFonts w:ascii="Arial" w:hAnsi="Arial" w:cs="Arial"/>
                <w:b/>
                <w:i/>
                <w:sz w:val="18"/>
                <w:szCs w:val="18"/>
              </w:rPr>
              <w:t>:</w:t>
            </w:r>
          </w:p>
          <w:p w14:paraId="4C3E5936" w14:textId="58DA9DFE" w:rsidR="00941203" w:rsidRDefault="003C7168" w:rsidP="00941203">
            <w:pPr>
              <w:jc w:val="both"/>
              <w:rPr>
                <w:rFonts w:ascii="Arial" w:hAnsi="Arial" w:cs="Arial"/>
                <w:sz w:val="18"/>
                <w:szCs w:val="18"/>
              </w:rPr>
            </w:pPr>
            <w:r w:rsidRPr="003C7168">
              <w:rPr>
                <w:rFonts w:ascii="Arial" w:hAnsi="Arial" w:cs="Arial"/>
                <w:sz w:val="18"/>
                <w:szCs w:val="18"/>
              </w:rPr>
              <w:t>Application of Law</w:t>
            </w:r>
            <w:r w:rsidR="003D6D09">
              <w:rPr>
                <w:rFonts w:ascii="Arial" w:hAnsi="Arial" w:cs="Arial"/>
                <w:sz w:val="18"/>
                <w:szCs w:val="18"/>
              </w:rPr>
              <w:t>;</w:t>
            </w:r>
          </w:p>
          <w:p w14:paraId="5AD14F10" w14:textId="625935AA" w:rsidR="003C7168" w:rsidRDefault="003C7168" w:rsidP="00941203">
            <w:pPr>
              <w:jc w:val="both"/>
              <w:rPr>
                <w:rFonts w:ascii="Arial" w:hAnsi="Arial" w:cs="Arial"/>
                <w:sz w:val="18"/>
                <w:szCs w:val="18"/>
              </w:rPr>
            </w:pPr>
            <w:r w:rsidRPr="003C7168">
              <w:rPr>
                <w:rFonts w:ascii="Arial" w:hAnsi="Arial" w:cs="Arial"/>
                <w:sz w:val="18"/>
                <w:szCs w:val="18"/>
              </w:rPr>
              <w:t>Children</w:t>
            </w:r>
            <w:r>
              <w:rPr>
                <w:rFonts w:ascii="Arial" w:hAnsi="Arial" w:cs="Arial"/>
                <w:sz w:val="18"/>
                <w:szCs w:val="18"/>
              </w:rPr>
              <w:t>;</w:t>
            </w:r>
          </w:p>
          <w:p w14:paraId="15636FD6" w14:textId="4DC35361" w:rsidR="003C7168" w:rsidRDefault="003C7168" w:rsidP="00941203">
            <w:pPr>
              <w:jc w:val="both"/>
              <w:rPr>
                <w:rFonts w:ascii="Arial" w:hAnsi="Arial" w:cs="Arial"/>
                <w:sz w:val="18"/>
                <w:szCs w:val="18"/>
              </w:rPr>
            </w:pPr>
            <w:r>
              <w:rPr>
                <w:rFonts w:ascii="Arial" w:hAnsi="Arial" w:cs="Arial"/>
                <w:sz w:val="18"/>
                <w:szCs w:val="18"/>
              </w:rPr>
              <w:t>I</w:t>
            </w:r>
            <w:r w:rsidRPr="003C7168">
              <w:rPr>
                <w:rFonts w:ascii="Arial" w:hAnsi="Arial" w:cs="Arial"/>
                <w:sz w:val="18"/>
                <w:szCs w:val="18"/>
              </w:rPr>
              <w:t>slamic Law</w:t>
            </w:r>
            <w:r>
              <w:rPr>
                <w:rFonts w:ascii="Arial" w:hAnsi="Arial" w:cs="Arial"/>
                <w:sz w:val="18"/>
                <w:szCs w:val="18"/>
              </w:rPr>
              <w:t>;</w:t>
            </w:r>
          </w:p>
          <w:p w14:paraId="48177D0C" w14:textId="7D8AE299" w:rsidR="003C7168" w:rsidRDefault="003C7168" w:rsidP="00941203">
            <w:pPr>
              <w:jc w:val="both"/>
              <w:rPr>
                <w:rFonts w:ascii="Arial" w:hAnsi="Arial" w:cs="Arial"/>
                <w:sz w:val="18"/>
                <w:szCs w:val="18"/>
              </w:rPr>
            </w:pPr>
            <w:r w:rsidRPr="003C7168">
              <w:rPr>
                <w:rFonts w:ascii="Arial" w:hAnsi="Arial" w:cs="Arial"/>
                <w:sz w:val="18"/>
                <w:szCs w:val="18"/>
              </w:rPr>
              <w:t>Legal Problems</w:t>
            </w:r>
            <w:r>
              <w:rPr>
                <w:rFonts w:ascii="Arial" w:hAnsi="Arial" w:cs="Arial"/>
                <w:sz w:val="18"/>
                <w:szCs w:val="18"/>
              </w:rPr>
              <w:t>;</w:t>
            </w:r>
          </w:p>
          <w:p w14:paraId="04517E06" w14:textId="352129E3" w:rsidR="003C7168" w:rsidRDefault="003C7168" w:rsidP="00941203">
            <w:pPr>
              <w:jc w:val="both"/>
              <w:rPr>
                <w:rFonts w:ascii="Arial" w:hAnsi="Arial" w:cs="Arial"/>
                <w:sz w:val="18"/>
                <w:szCs w:val="18"/>
              </w:rPr>
            </w:pPr>
            <w:r w:rsidRPr="003C7168">
              <w:rPr>
                <w:rFonts w:ascii="Arial" w:hAnsi="Arial" w:cs="Arial"/>
                <w:sz w:val="18"/>
                <w:szCs w:val="18"/>
              </w:rPr>
              <w:t>Online Trading</w:t>
            </w:r>
            <w:r>
              <w:rPr>
                <w:rFonts w:ascii="Arial" w:hAnsi="Arial" w:cs="Arial"/>
                <w:sz w:val="18"/>
                <w:szCs w:val="18"/>
              </w:rPr>
              <w:t>.</w:t>
            </w:r>
          </w:p>
          <w:p w14:paraId="4B416523" w14:textId="21FAD2D4" w:rsidR="00941203" w:rsidRPr="00E57BBE" w:rsidRDefault="00941203" w:rsidP="003C7168">
            <w:pPr>
              <w:jc w:val="both"/>
              <w:rPr>
                <w:rFonts w:ascii="Arial" w:hAnsi="Arial" w:cs="Arial"/>
                <w:b/>
                <w:i/>
                <w:sz w:val="18"/>
                <w:szCs w:val="18"/>
              </w:rPr>
            </w:pPr>
          </w:p>
        </w:tc>
        <w:tc>
          <w:tcPr>
            <w:tcW w:w="283" w:type="dxa"/>
            <w:vMerge/>
            <w:tcBorders>
              <w:top w:val="nil"/>
              <w:left w:val="nil"/>
              <w:bottom w:val="nil"/>
              <w:right w:val="nil"/>
            </w:tcBorders>
          </w:tcPr>
          <w:p w14:paraId="26D1DFBC" w14:textId="77777777" w:rsidR="00941203" w:rsidRPr="001D4786" w:rsidRDefault="00941203" w:rsidP="00957C11">
            <w:pPr>
              <w:spacing w:before="120"/>
              <w:jc w:val="both"/>
              <w:rPr>
                <w:rFonts w:ascii="Arial" w:hAnsi="Arial" w:cs="Arial"/>
              </w:rPr>
            </w:pPr>
          </w:p>
        </w:tc>
        <w:tc>
          <w:tcPr>
            <w:tcW w:w="5812" w:type="dxa"/>
            <w:vMerge/>
            <w:tcBorders>
              <w:top w:val="nil"/>
              <w:left w:val="nil"/>
              <w:bottom w:val="nil"/>
              <w:right w:val="nil"/>
            </w:tcBorders>
          </w:tcPr>
          <w:p w14:paraId="5C80F7FA" w14:textId="77777777" w:rsidR="00941203" w:rsidRPr="001D4786" w:rsidRDefault="00941203" w:rsidP="00957C11">
            <w:pPr>
              <w:spacing w:before="120"/>
              <w:jc w:val="both"/>
              <w:rPr>
                <w:rFonts w:ascii="Arial" w:hAnsi="Arial" w:cs="Arial"/>
                <w:iCs/>
                <w:color w:val="000000"/>
                <w:sz w:val="18"/>
                <w:szCs w:val="18"/>
              </w:rPr>
            </w:pPr>
          </w:p>
        </w:tc>
      </w:tr>
      <w:tr w:rsidR="00941203" w:rsidRPr="001D4786"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1D4786" w:rsidRDefault="00941203" w:rsidP="00941203">
            <w:pPr>
              <w:spacing w:before="120" w:after="120"/>
              <w:jc w:val="both"/>
              <w:rPr>
                <w:rFonts w:ascii="Arial" w:hAnsi="Arial" w:cs="Arial"/>
                <w:b/>
                <w:i/>
              </w:rPr>
            </w:pPr>
          </w:p>
        </w:tc>
        <w:tc>
          <w:tcPr>
            <w:tcW w:w="283" w:type="dxa"/>
            <w:vMerge/>
            <w:tcBorders>
              <w:top w:val="nil"/>
              <w:left w:val="nil"/>
              <w:bottom w:val="nil"/>
              <w:right w:val="nil"/>
            </w:tcBorders>
          </w:tcPr>
          <w:p w14:paraId="2C6B02DA" w14:textId="77777777" w:rsidR="00941203" w:rsidRPr="001D4786" w:rsidRDefault="00941203" w:rsidP="00957C11">
            <w:pPr>
              <w:spacing w:before="120"/>
              <w:jc w:val="both"/>
              <w:rPr>
                <w:rFonts w:ascii="Arial" w:hAnsi="Arial" w:cs="Arial"/>
              </w:rPr>
            </w:pPr>
          </w:p>
        </w:tc>
        <w:tc>
          <w:tcPr>
            <w:tcW w:w="5812" w:type="dxa"/>
            <w:tcBorders>
              <w:top w:val="nil"/>
              <w:left w:val="nil"/>
              <w:bottom w:val="single" w:sz="4" w:space="0" w:color="auto"/>
              <w:right w:val="nil"/>
            </w:tcBorders>
          </w:tcPr>
          <w:p w14:paraId="205931C6" w14:textId="6D8C6EA7" w:rsidR="001414E2" w:rsidRPr="00237A4F" w:rsidRDefault="001414E2" w:rsidP="001414E2">
            <w:pPr>
              <w:spacing w:before="120" w:after="120"/>
              <w:jc w:val="right"/>
              <w:rPr>
                <w:rFonts w:ascii="Arial" w:hAnsi="Arial" w:cs="Arial"/>
                <w:i/>
                <w:iCs/>
                <w:color w:val="000000"/>
                <w:sz w:val="18"/>
                <w:szCs w:val="18"/>
              </w:rPr>
            </w:pPr>
            <w:r w:rsidRPr="00237A4F">
              <w:rPr>
                <w:rFonts w:ascii="Arial" w:hAnsi="Arial" w:cs="Arial"/>
                <w:i/>
                <w:iCs/>
                <w:color w:val="000000"/>
                <w:sz w:val="18"/>
                <w:szCs w:val="18"/>
              </w:rPr>
              <w:t xml:space="preserve">This is an open access article under the </w:t>
            </w:r>
            <w:hyperlink r:id="rId8" w:history="1">
              <w:r w:rsidR="00237A4F" w:rsidRPr="00237A4F">
                <w:rPr>
                  <w:rStyle w:val="Hyperlink"/>
                  <w:rFonts w:ascii="Arial" w:hAnsi="Arial" w:cs="Arial"/>
                  <w:i/>
                  <w:iCs/>
                  <w:sz w:val="18"/>
                  <w:szCs w:val="18"/>
                </w:rPr>
                <w:t>CC BY-NC</w:t>
              </w:r>
            </w:hyperlink>
            <w:r w:rsidRPr="00237A4F">
              <w:rPr>
                <w:rFonts w:ascii="Arial" w:hAnsi="Arial" w:cs="Arial"/>
                <w:i/>
                <w:iCs/>
                <w:color w:val="000000"/>
                <w:sz w:val="18"/>
                <w:szCs w:val="18"/>
              </w:rPr>
              <w:t xml:space="preserve"> license.</w:t>
            </w:r>
          </w:p>
          <w:p w14:paraId="18D744D6" w14:textId="1F0A41EF" w:rsidR="00941203" w:rsidRPr="001D4786" w:rsidRDefault="00237A4F" w:rsidP="001414E2">
            <w:pPr>
              <w:spacing w:before="120" w:after="120"/>
              <w:jc w:val="right"/>
              <w:rPr>
                <w:rFonts w:ascii="Arial" w:hAnsi="Arial" w:cs="Arial"/>
                <w:i/>
                <w:iCs/>
                <w:color w:val="000000"/>
                <w:sz w:val="18"/>
                <w:szCs w:val="18"/>
              </w:rPr>
            </w:pPr>
            <w:r>
              <w:rPr>
                <w:rFonts w:ascii="Arial" w:hAnsi="Arial" w:cs="Arial"/>
                <w:i/>
                <w:iCs/>
                <w:noProof/>
                <w:color w:val="000000"/>
                <w:sz w:val="18"/>
                <w:szCs w:val="18"/>
              </w:rPr>
              <w:drawing>
                <wp:inline distT="0" distB="0" distL="0" distR="0" wp14:anchorId="687DD4F8" wp14:editId="48AA884D">
                  <wp:extent cx="838200" cy="302163"/>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7971" cy="312895"/>
                          </a:xfrm>
                          <a:prstGeom prst="rect">
                            <a:avLst/>
                          </a:prstGeom>
                          <a:noFill/>
                          <a:ln>
                            <a:noFill/>
                          </a:ln>
                        </pic:spPr>
                      </pic:pic>
                    </a:graphicData>
                  </a:graphic>
                </wp:inline>
              </w:drawing>
            </w:r>
          </w:p>
        </w:tc>
      </w:tr>
      <w:tr w:rsidR="007F286F" w:rsidRPr="001D4786"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DD7350" w:rsidRDefault="007F286F" w:rsidP="00941203">
            <w:pPr>
              <w:spacing w:before="120" w:after="120"/>
              <w:rPr>
                <w:rFonts w:ascii="Arial" w:hAnsi="Arial" w:cs="Arial"/>
                <w:b/>
                <w:i/>
                <w:sz w:val="18"/>
                <w:szCs w:val="18"/>
              </w:rPr>
            </w:pPr>
            <w:r w:rsidRPr="00DD7350">
              <w:rPr>
                <w:rFonts w:ascii="Arial" w:hAnsi="Arial" w:cs="Arial"/>
                <w:b/>
                <w:i/>
                <w:sz w:val="18"/>
                <w:szCs w:val="18"/>
              </w:rPr>
              <w:t>Corresponding Author:</w:t>
            </w:r>
          </w:p>
          <w:p w14:paraId="5ECE8328" w14:textId="195EA037" w:rsidR="00071789" w:rsidRPr="00071789" w:rsidRDefault="00071789" w:rsidP="00A27C7D">
            <w:pPr>
              <w:rPr>
                <w:rFonts w:ascii="Arial" w:hAnsi="Arial" w:cs="Arial"/>
                <w:sz w:val="18"/>
                <w:szCs w:val="18"/>
              </w:rPr>
            </w:pPr>
            <w:r w:rsidRPr="00071789">
              <w:rPr>
                <w:rFonts w:ascii="Arial" w:hAnsi="Arial" w:cs="Arial"/>
                <w:sz w:val="18"/>
                <w:szCs w:val="18"/>
              </w:rPr>
              <w:t>Talitha Rahma</w:t>
            </w:r>
          </w:p>
          <w:p w14:paraId="3D2FB7FF" w14:textId="77777777" w:rsidR="00A27C7D" w:rsidRDefault="00071789" w:rsidP="00A27C7D">
            <w:pPr>
              <w:rPr>
                <w:rFonts w:ascii="Arial" w:hAnsi="Arial" w:cs="Arial"/>
                <w:sz w:val="18"/>
                <w:szCs w:val="18"/>
              </w:rPr>
            </w:pPr>
            <w:proofErr w:type="spellStart"/>
            <w:r w:rsidRPr="00071789">
              <w:rPr>
                <w:rFonts w:ascii="Arial" w:hAnsi="Arial" w:cs="Arial"/>
                <w:sz w:val="18"/>
                <w:szCs w:val="18"/>
              </w:rPr>
              <w:t>Fakultas</w:t>
            </w:r>
            <w:proofErr w:type="spellEnd"/>
            <w:r w:rsidRPr="00071789">
              <w:rPr>
                <w:rFonts w:ascii="Arial" w:hAnsi="Arial" w:cs="Arial"/>
                <w:sz w:val="18"/>
                <w:szCs w:val="18"/>
              </w:rPr>
              <w:t xml:space="preserve"> Hukum, </w:t>
            </w:r>
          </w:p>
          <w:p w14:paraId="4B67DCE2" w14:textId="40635138" w:rsidR="00071789" w:rsidRPr="00071789" w:rsidRDefault="00071789" w:rsidP="00A27C7D">
            <w:pPr>
              <w:rPr>
                <w:rFonts w:ascii="Arial" w:hAnsi="Arial" w:cs="Arial"/>
                <w:sz w:val="18"/>
                <w:szCs w:val="18"/>
              </w:rPr>
            </w:pPr>
            <w:r w:rsidRPr="00071789">
              <w:rPr>
                <w:rFonts w:ascii="Arial" w:hAnsi="Arial" w:cs="Arial"/>
                <w:sz w:val="18"/>
                <w:szCs w:val="18"/>
              </w:rPr>
              <w:t xml:space="preserve">Universitas Maarif Hasyim Latif, </w:t>
            </w:r>
            <w:proofErr w:type="spellStart"/>
            <w:r w:rsidRPr="00071789">
              <w:rPr>
                <w:rFonts w:ascii="Arial" w:hAnsi="Arial" w:cs="Arial"/>
                <w:sz w:val="18"/>
                <w:szCs w:val="18"/>
              </w:rPr>
              <w:t>Sidoarjo</w:t>
            </w:r>
            <w:proofErr w:type="spellEnd"/>
            <w:r w:rsidRPr="00071789">
              <w:rPr>
                <w:rFonts w:ascii="Arial" w:hAnsi="Arial" w:cs="Arial"/>
                <w:sz w:val="18"/>
                <w:szCs w:val="18"/>
              </w:rPr>
              <w:t xml:space="preserve"> </w:t>
            </w:r>
          </w:p>
          <w:p w14:paraId="06B58745" w14:textId="79350DB4" w:rsidR="00BC03E2" w:rsidRPr="00071789" w:rsidRDefault="00DD7350" w:rsidP="00A27C7D">
            <w:pPr>
              <w:rPr>
                <w:rFonts w:ascii="Arial" w:hAnsi="Arial" w:cs="Arial"/>
                <w:sz w:val="18"/>
                <w:szCs w:val="18"/>
              </w:rPr>
            </w:pPr>
            <w:r w:rsidRPr="00071789">
              <w:rPr>
                <w:rFonts w:ascii="Arial" w:hAnsi="Arial" w:cs="Arial"/>
                <w:sz w:val="18"/>
                <w:szCs w:val="18"/>
              </w:rPr>
              <w:t xml:space="preserve">Jl. </w:t>
            </w:r>
            <w:proofErr w:type="spellStart"/>
            <w:r w:rsidR="00071789" w:rsidRPr="00071789">
              <w:rPr>
                <w:rFonts w:ascii="Arial" w:hAnsi="Arial" w:cs="Arial"/>
                <w:sz w:val="18"/>
                <w:szCs w:val="18"/>
              </w:rPr>
              <w:t>Ngelom</w:t>
            </w:r>
            <w:proofErr w:type="spellEnd"/>
            <w:r w:rsidR="00071789" w:rsidRPr="00071789">
              <w:rPr>
                <w:rFonts w:ascii="Arial" w:hAnsi="Arial" w:cs="Arial"/>
                <w:sz w:val="18"/>
                <w:szCs w:val="18"/>
              </w:rPr>
              <w:t xml:space="preserve"> </w:t>
            </w:r>
            <w:proofErr w:type="spellStart"/>
            <w:r w:rsidR="00071789" w:rsidRPr="00071789">
              <w:rPr>
                <w:rFonts w:ascii="Arial" w:hAnsi="Arial" w:cs="Arial"/>
                <w:sz w:val="18"/>
                <w:szCs w:val="18"/>
              </w:rPr>
              <w:t>Megare</w:t>
            </w:r>
            <w:proofErr w:type="spellEnd"/>
            <w:r w:rsidR="00071789" w:rsidRPr="00071789">
              <w:rPr>
                <w:rFonts w:ascii="Arial" w:hAnsi="Arial" w:cs="Arial"/>
                <w:sz w:val="18"/>
                <w:szCs w:val="18"/>
              </w:rPr>
              <w:t xml:space="preserve"> No. 30</w:t>
            </w:r>
            <w:r w:rsidRPr="00071789">
              <w:rPr>
                <w:rFonts w:ascii="Arial" w:hAnsi="Arial" w:cs="Arial"/>
                <w:sz w:val="18"/>
                <w:szCs w:val="18"/>
              </w:rPr>
              <w:t xml:space="preserve">, </w:t>
            </w:r>
            <w:proofErr w:type="spellStart"/>
            <w:r w:rsidRPr="00071789">
              <w:rPr>
                <w:rFonts w:ascii="Arial" w:hAnsi="Arial" w:cs="Arial"/>
                <w:sz w:val="18"/>
                <w:szCs w:val="18"/>
              </w:rPr>
              <w:t>Kec</w:t>
            </w:r>
            <w:proofErr w:type="spellEnd"/>
            <w:r w:rsidRPr="00071789">
              <w:rPr>
                <w:rFonts w:ascii="Arial" w:hAnsi="Arial" w:cs="Arial"/>
                <w:sz w:val="18"/>
                <w:szCs w:val="18"/>
              </w:rPr>
              <w:t xml:space="preserve">. </w:t>
            </w:r>
            <w:r w:rsidR="00071789" w:rsidRPr="00071789">
              <w:rPr>
                <w:rFonts w:ascii="Arial" w:hAnsi="Arial" w:cs="Arial"/>
                <w:sz w:val="18"/>
                <w:szCs w:val="18"/>
              </w:rPr>
              <w:t>Taman</w:t>
            </w:r>
            <w:r w:rsidRPr="00071789">
              <w:rPr>
                <w:rFonts w:ascii="Arial" w:hAnsi="Arial" w:cs="Arial"/>
                <w:sz w:val="18"/>
                <w:szCs w:val="18"/>
              </w:rPr>
              <w:t xml:space="preserve">, </w:t>
            </w:r>
            <w:proofErr w:type="spellStart"/>
            <w:r w:rsidR="00071789" w:rsidRPr="00071789">
              <w:rPr>
                <w:rFonts w:ascii="Arial" w:hAnsi="Arial" w:cs="Arial"/>
                <w:sz w:val="18"/>
                <w:szCs w:val="18"/>
              </w:rPr>
              <w:t>Kab</w:t>
            </w:r>
            <w:proofErr w:type="spellEnd"/>
            <w:r w:rsidR="00071789" w:rsidRPr="00071789">
              <w:rPr>
                <w:rFonts w:ascii="Arial" w:hAnsi="Arial" w:cs="Arial"/>
                <w:sz w:val="18"/>
                <w:szCs w:val="18"/>
              </w:rPr>
              <w:t xml:space="preserve">. </w:t>
            </w:r>
            <w:proofErr w:type="spellStart"/>
            <w:r w:rsidR="00071789" w:rsidRPr="00071789">
              <w:rPr>
                <w:rFonts w:ascii="Arial" w:hAnsi="Arial" w:cs="Arial"/>
                <w:sz w:val="18"/>
                <w:szCs w:val="18"/>
              </w:rPr>
              <w:t>Sidoarjo</w:t>
            </w:r>
            <w:proofErr w:type="spellEnd"/>
            <w:r w:rsidRPr="00071789">
              <w:rPr>
                <w:rFonts w:ascii="Arial" w:hAnsi="Arial" w:cs="Arial"/>
                <w:sz w:val="18"/>
                <w:szCs w:val="18"/>
              </w:rPr>
              <w:t xml:space="preserve">, </w:t>
            </w:r>
            <w:r w:rsidR="00071789" w:rsidRPr="00071789">
              <w:rPr>
                <w:rFonts w:ascii="Arial" w:hAnsi="Arial" w:cs="Arial"/>
                <w:sz w:val="18"/>
                <w:szCs w:val="18"/>
              </w:rPr>
              <w:t>Jawa Timur, Indonesia,</w:t>
            </w:r>
            <w:r w:rsidRPr="00071789">
              <w:rPr>
                <w:rFonts w:ascii="Arial" w:hAnsi="Arial" w:cs="Arial"/>
                <w:sz w:val="18"/>
                <w:szCs w:val="18"/>
              </w:rPr>
              <w:t xml:space="preserve"> </w:t>
            </w:r>
            <w:r w:rsidR="00071789" w:rsidRPr="00071789">
              <w:rPr>
                <w:rFonts w:ascii="Arial" w:hAnsi="Arial" w:cs="Arial"/>
                <w:sz w:val="18"/>
                <w:szCs w:val="18"/>
              </w:rPr>
              <w:t>61257</w:t>
            </w:r>
          </w:p>
          <w:p w14:paraId="3C411EDF" w14:textId="4D6C0301" w:rsidR="00941203" w:rsidRPr="001D4786" w:rsidRDefault="00BC03E2" w:rsidP="00A27C7D">
            <w:pPr>
              <w:spacing w:after="120"/>
              <w:rPr>
                <w:rFonts w:ascii="Arial" w:hAnsi="Arial" w:cs="Arial"/>
                <w:color w:val="000000"/>
                <w:sz w:val="18"/>
                <w:szCs w:val="18"/>
              </w:rPr>
            </w:pPr>
            <w:r w:rsidRPr="00071789">
              <w:rPr>
                <w:rFonts w:ascii="Arial" w:hAnsi="Arial" w:cs="Arial"/>
                <w:sz w:val="18"/>
                <w:szCs w:val="18"/>
              </w:rPr>
              <w:t xml:space="preserve">Email: </w:t>
            </w:r>
            <w:r w:rsidR="003D6D09">
              <w:rPr>
                <w:rFonts w:ascii="Arial" w:hAnsi="Arial" w:cs="Arial"/>
                <w:sz w:val="18"/>
                <w:szCs w:val="18"/>
              </w:rPr>
              <w:t>t</w:t>
            </w:r>
            <w:r w:rsidR="00071789">
              <w:rPr>
                <w:rFonts w:ascii="Arial" w:hAnsi="Arial" w:cs="Arial"/>
                <w:sz w:val="18"/>
                <w:szCs w:val="18"/>
              </w:rPr>
              <w:t>alitha_rahma@student.umaha.ac.id</w:t>
            </w:r>
          </w:p>
        </w:tc>
      </w:tr>
    </w:tbl>
    <w:p w14:paraId="19EB2672" w14:textId="6182C3C4" w:rsidR="00957C11" w:rsidRPr="001D4786" w:rsidRDefault="00957C11" w:rsidP="00957C11">
      <w:pPr>
        <w:jc w:val="both"/>
        <w:rPr>
          <w:rFonts w:ascii="Arial" w:hAnsi="Arial" w:cs="Arial"/>
        </w:rPr>
      </w:pPr>
    </w:p>
    <w:p w14:paraId="6D2E917E" w14:textId="77777777" w:rsidR="00C07BEF" w:rsidRPr="00071789" w:rsidRDefault="00C07BEF" w:rsidP="00071789">
      <w:pPr>
        <w:jc w:val="both"/>
        <w:rPr>
          <w:rFonts w:ascii="Arial" w:hAnsi="Arial" w:cs="Arial"/>
        </w:rPr>
      </w:pPr>
    </w:p>
    <w:p w14:paraId="40A1B4C3" w14:textId="0EA3F572" w:rsidR="007522E9" w:rsidRPr="00A27C7D" w:rsidRDefault="00F33C08" w:rsidP="00071789">
      <w:pPr>
        <w:numPr>
          <w:ilvl w:val="0"/>
          <w:numId w:val="15"/>
        </w:numPr>
        <w:ind w:left="426" w:hanging="426"/>
        <w:rPr>
          <w:rFonts w:ascii="Arial" w:hAnsi="Arial" w:cs="Arial"/>
          <w:b/>
          <w:bCs/>
          <w:lang w:val="id-ID"/>
        </w:rPr>
      </w:pPr>
      <w:r w:rsidRPr="00071789">
        <w:rPr>
          <w:rFonts w:ascii="Arial" w:hAnsi="Arial" w:cs="Arial"/>
          <w:b/>
          <w:bCs/>
          <w:lang w:val="id-ID"/>
        </w:rPr>
        <w:t>INTRODUCTION</w:t>
      </w:r>
      <w:r w:rsidRPr="00071789">
        <w:rPr>
          <w:rFonts w:ascii="Arial" w:hAnsi="Arial" w:cs="Arial"/>
          <w:b/>
          <w:bCs/>
        </w:rPr>
        <w:t xml:space="preserve"> </w:t>
      </w:r>
      <w:bookmarkStart w:id="1" w:name="_Hlk80000657"/>
    </w:p>
    <w:p w14:paraId="617502A0" w14:textId="77777777" w:rsidR="00A27C7D" w:rsidRPr="00071789" w:rsidRDefault="00A27C7D" w:rsidP="00A27C7D">
      <w:pPr>
        <w:rPr>
          <w:rFonts w:ascii="Arial" w:hAnsi="Arial" w:cs="Arial"/>
          <w:b/>
          <w:bCs/>
          <w:lang w:val="id-ID"/>
        </w:rPr>
      </w:pPr>
    </w:p>
    <w:p w14:paraId="239712AA" w14:textId="60B4F072" w:rsidR="007522E9" w:rsidRPr="00071789" w:rsidRDefault="00A27C7D" w:rsidP="00A27C7D">
      <w:pPr>
        <w:jc w:val="both"/>
        <w:rPr>
          <w:rFonts w:ascii="Arial" w:hAnsi="Arial" w:cs="Arial"/>
          <w:lang w:val="id-ID"/>
        </w:rPr>
      </w:pPr>
      <w:r w:rsidRPr="00A27C7D">
        <w:rPr>
          <w:rFonts w:ascii="Arial" w:hAnsi="Arial" w:cs="Arial"/>
          <w:lang w:val="id-ID"/>
        </w:rPr>
        <w:t>Currently, one of the fastest growing phenomena is technological advancement. One such development is the increased use of the internet in everyday life. The way people conduct transactions, business, and trade in a new and competitive environment is one of the main areas significantly influenced by the internet. The use of electronic media has increased human activity in online buying and selling transactions. Electronic commerce, or E-commerce, is the term used to describe the process of buying and selling goods and services electronically through business computer transactions that use the Internet, networks, and other digital technologies</w:t>
      </w:r>
      <w:r w:rsidR="007522E9" w:rsidRPr="00071789">
        <w:rPr>
          <w:rFonts w:ascii="Arial" w:hAnsi="Arial" w:cs="Arial"/>
          <w:lang w:val="id-ID"/>
        </w:rPr>
        <w:t>.</w:t>
      </w:r>
    </w:p>
    <w:p w14:paraId="74ED3677" w14:textId="296281EA" w:rsidR="007522E9" w:rsidRPr="00071789" w:rsidRDefault="00A27C7D" w:rsidP="00071789">
      <w:pPr>
        <w:ind w:firstLine="567"/>
        <w:jc w:val="both"/>
        <w:rPr>
          <w:rFonts w:ascii="Arial" w:hAnsi="Arial" w:cs="Arial"/>
          <w:lang w:val="id-ID"/>
        </w:rPr>
      </w:pPr>
      <w:r w:rsidRPr="00A27C7D">
        <w:rPr>
          <w:rFonts w:ascii="Arial" w:hAnsi="Arial" w:cs="Arial"/>
          <w:lang w:val="id-ID"/>
        </w:rPr>
        <w:t xml:space="preserve">The emergence of e-commerce has changed the way people think about their needs, from basic, secondary, and tertiary needs to other needs, such as consumer-to-consumer needs. The development of e-commerce and online sales is influenced by the role of technology. Technology has become the sole </w:t>
      </w:r>
      <w:r w:rsidRPr="00A27C7D">
        <w:rPr>
          <w:rFonts w:ascii="Arial" w:hAnsi="Arial" w:cs="Arial"/>
          <w:lang w:val="id-ID"/>
        </w:rPr>
        <w:lastRenderedPageBreak/>
        <w:t>means for consumers and suppliers to conduct e-commerce transactions (Muadim et al., 2023). E-commerce demonstrates that buying and selling practices are no longer limited to direct interactions between sellers and buyers involving tangible goods but can now be conducted through various online shopping applications</w:t>
      </w:r>
      <w:r w:rsidR="007522E9" w:rsidRPr="00071789">
        <w:rPr>
          <w:rFonts w:ascii="Arial" w:hAnsi="Arial" w:cs="Arial"/>
          <w:lang w:val="id-ID"/>
        </w:rPr>
        <w:t xml:space="preserve">. </w:t>
      </w:r>
    </w:p>
    <w:p w14:paraId="4B4F6A24" w14:textId="0E1F9589" w:rsidR="007522E9" w:rsidRPr="00071789" w:rsidRDefault="00A27C7D" w:rsidP="00071789">
      <w:pPr>
        <w:ind w:firstLine="567"/>
        <w:jc w:val="both"/>
        <w:rPr>
          <w:rFonts w:ascii="Arial" w:hAnsi="Arial" w:cs="Arial"/>
          <w:lang w:val="id-ID"/>
        </w:rPr>
      </w:pPr>
      <w:r w:rsidRPr="00A27C7D">
        <w:rPr>
          <w:rFonts w:ascii="Arial" w:hAnsi="Arial" w:cs="Arial"/>
          <w:lang w:val="id-ID"/>
        </w:rPr>
        <w:t>With easy access, online buying and selling activities are not restricted by age, meaning that anyone can engage in online buying and selling, from adults to children. Children today are accustomed to advanced technology and are therefore prone to the temptation of online shopping. Indonesian law has its own criteria for the age of legal competence. Under Article 330 of the Civil Code, "minors are those who have not yet reached the age of 21 (twenty-one) years and have not yet married. Therefore, in a contract, every legal entity must comply with the provisions of the Civil Code for a contract to be considered valid or invalid. In all areas of law, legal capacity is crucial because every legal act requires legal capacity. Legal capacity is the basis for determining whether an individual can exercise rights or perform legal acts. Therefore, if an individual who lacks legal capacity performs a legal act, that act cannot be held accountable and cannot be revoked (Ahmad Mafaid, 2020)</w:t>
      </w:r>
      <w:r w:rsidR="007522E9" w:rsidRPr="00071789">
        <w:rPr>
          <w:rFonts w:ascii="Arial" w:hAnsi="Arial" w:cs="Arial"/>
          <w:lang w:val="id-ID"/>
        </w:rPr>
        <w:t>.</w:t>
      </w:r>
    </w:p>
    <w:p w14:paraId="046F0D0C" w14:textId="6A3EAC6F" w:rsidR="007522E9" w:rsidRPr="00071789" w:rsidRDefault="00F511F8" w:rsidP="00071789">
      <w:pPr>
        <w:ind w:firstLine="567"/>
        <w:jc w:val="both"/>
        <w:rPr>
          <w:rFonts w:ascii="Arial" w:hAnsi="Arial" w:cs="Arial"/>
          <w:lang w:val="id-ID"/>
        </w:rPr>
      </w:pPr>
      <w:r w:rsidRPr="00F511F8">
        <w:rPr>
          <w:rFonts w:ascii="Arial" w:hAnsi="Arial" w:cs="Arial"/>
          <w:lang w:val="id-ID"/>
        </w:rPr>
        <w:t>In the science of usul fiqh, the subject of law or mahkum “alaih” is a person who is considered capable of acting in accordance with the law, whether it relates to Allah's commands or prohibitions. A person is not subject to taklif (legal obligation) before they have the ability to act in accordance with the law. A person who has the ability to act in accordance with the law is called ahliyah (Cut Ali, 2021). A person cannot be held accountable for all of their actions if they are unable to act legally. In other words, ahliyah is a characteristic that indicates that a person is physically and morally mature so that all of their actions can be judged by Sharia. If a person has this characteristic, then they are considered to have performed legal actions, such as accepting the rights of others. Therefore, their sales are valid, their gifts are valid, and they are capable of assuming responsibilities such as being a witness, marrying, and paying maintenance. The capacity to act legally does not emerge all at once but develops alongside physical and mental growth</w:t>
      </w:r>
      <w:r w:rsidR="007522E9" w:rsidRPr="00071789">
        <w:rPr>
          <w:rFonts w:ascii="Arial" w:hAnsi="Arial" w:cs="Arial"/>
          <w:lang w:val="id-ID"/>
        </w:rPr>
        <w:t>.</w:t>
      </w:r>
    </w:p>
    <w:p w14:paraId="7B565AA6" w14:textId="51DD7A4F" w:rsidR="007522E9" w:rsidRPr="00071789" w:rsidRDefault="00F511F8" w:rsidP="00071789">
      <w:pPr>
        <w:ind w:firstLine="567"/>
        <w:jc w:val="both"/>
        <w:rPr>
          <w:rFonts w:ascii="Arial" w:hAnsi="Arial" w:cs="Arial"/>
          <w:lang w:val="id-ID"/>
        </w:rPr>
      </w:pPr>
      <w:r w:rsidRPr="00F511F8">
        <w:rPr>
          <w:rFonts w:ascii="Arial" w:hAnsi="Arial" w:cs="Arial"/>
          <w:lang w:val="id-ID"/>
        </w:rPr>
        <w:t>The absence of clear and concise legal certainty raises questions about the future validity of legal contracts. This is particularly important from a research perspective, as minors will be involved in online sales transactions. The failure to fulfill the requirements for a valid contract weakens the substance of Islamic law. In cases where every agreement requires legal capacity, minors are not yet considered legally competent because they are not yet adults, and the agreement may be annulled by a judge if there is no clear legal certainty. Based on the above discussion and explanation, this study aims to determine and analyze the validity of online buying and selling activities conducted by children from the perspective of Islamic law, as well as to understand the purpose of validity for children engaging in online buying and selling according to Islamic law (Rifa’i et al., 2023)</w:t>
      </w:r>
      <w:r w:rsidR="007522E9" w:rsidRPr="00071789">
        <w:rPr>
          <w:rFonts w:ascii="Arial" w:hAnsi="Arial" w:cs="Arial"/>
          <w:lang w:val="id-ID"/>
        </w:rPr>
        <w:t>.</w:t>
      </w:r>
    </w:p>
    <w:p w14:paraId="4B796373" w14:textId="0027B775" w:rsidR="007522E9" w:rsidRPr="00071789" w:rsidRDefault="007522E9" w:rsidP="00071789">
      <w:pPr>
        <w:jc w:val="both"/>
        <w:rPr>
          <w:rFonts w:ascii="Arial" w:hAnsi="Arial" w:cs="Arial"/>
          <w:lang w:val="id-ID"/>
        </w:rPr>
      </w:pPr>
    </w:p>
    <w:bookmarkEnd w:id="1"/>
    <w:p w14:paraId="6DBBEBA8" w14:textId="19018BA5" w:rsidR="001921FB" w:rsidRPr="00071789" w:rsidRDefault="00E619D6" w:rsidP="00071789">
      <w:pPr>
        <w:numPr>
          <w:ilvl w:val="0"/>
          <w:numId w:val="15"/>
        </w:numPr>
        <w:ind w:left="426" w:hanging="426"/>
        <w:rPr>
          <w:rFonts w:ascii="Arial" w:hAnsi="Arial" w:cs="Arial"/>
          <w:b/>
          <w:bCs/>
          <w:lang w:val="id-ID"/>
        </w:rPr>
      </w:pPr>
      <w:r w:rsidRPr="00071789">
        <w:rPr>
          <w:rFonts w:ascii="Arial" w:hAnsi="Arial" w:cs="Arial"/>
          <w:b/>
          <w:bCs/>
          <w:lang w:val="id-ID"/>
        </w:rPr>
        <w:t>METHOD</w:t>
      </w:r>
      <w:r w:rsidRPr="00071789">
        <w:rPr>
          <w:rFonts w:ascii="Arial" w:hAnsi="Arial" w:cs="Arial"/>
          <w:b/>
          <w:bCs/>
        </w:rPr>
        <w:t xml:space="preserve"> </w:t>
      </w:r>
      <w:bookmarkStart w:id="2" w:name="_Hlk78354310"/>
      <w:bookmarkStart w:id="3" w:name="_Hlk78354375"/>
    </w:p>
    <w:p w14:paraId="71A70E1F" w14:textId="7DCA6848" w:rsidR="001921FB" w:rsidRPr="00071789" w:rsidRDefault="00F511F8" w:rsidP="00071789">
      <w:pPr>
        <w:jc w:val="both"/>
        <w:rPr>
          <w:rFonts w:ascii="Arial" w:hAnsi="Arial" w:cs="Arial"/>
          <w:lang w:val="id-ID"/>
        </w:rPr>
      </w:pPr>
      <w:r w:rsidRPr="00F511F8">
        <w:rPr>
          <w:rFonts w:ascii="Arial" w:hAnsi="Arial" w:cs="Arial"/>
          <w:lang w:val="id-ID"/>
        </w:rPr>
        <w:t>The type of research used in this study is normative legal research, which is a legal research method conducted by analyzing or examining existing written legal sources based on literature such as applicable laws, books, and journals. Additionally, the socio-legal research method is employed to understand how the law operates within a societal context. Socio-legal research involves a textual study of the substance of legislation, which is then analyzed and explained in terms of its meaning and implications for society as the subject of law. The legal research approaches used in this legal writing are: The Statute Approach is intended to comprehensively understand and analyze the hierarchy of legislation and the principles within legislation. The Statute Approach is carried out by examining all legislation and regulations related to the legal issue being addressed. The Conceptual Approach is carried out by combining practical concepts that can be implemented into a specific perspective and become a solution to the problem that has occurred. Comparative Approach. The comparative approach aims to compare or contrast the laws and regulations used as the legal basis in Indonesia. In this study, the data required are primary and secondary data. Primary data are authoritative legal materials consisting of laws, official records, or minutes in the making of laws. Primary materials are obtained from legislation, namely the Compilation of Sharia Economic Law and the Fatwa of the National Sharia Council-Indonesian Ulema Council No: 110/DSN-MUI/IX/2017. Meanwhile, secondary materials include literature related to the issues being studied, which come from books, journals, articles, theses, and all forms of scientific writing</w:t>
      </w:r>
      <w:r w:rsidR="001921FB" w:rsidRPr="00071789">
        <w:rPr>
          <w:rFonts w:ascii="Arial" w:hAnsi="Arial" w:cs="Arial"/>
          <w:lang w:val="id-ID"/>
        </w:rPr>
        <w:t>.</w:t>
      </w:r>
    </w:p>
    <w:bookmarkEnd w:id="2"/>
    <w:bookmarkEnd w:id="3"/>
    <w:p w14:paraId="3AFF7DEF" w14:textId="66735EC0" w:rsidR="003E23A5" w:rsidRPr="00071789" w:rsidRDefault="00E619D6" w:rsidP="00CE140E">
      <w:pPr>
        <w:numPr>
          <w:ilvl w:val="0"/>
          <w:numId w:val="15"/>
        </w:numPr>
        <w:tabs>
          <w:tab w:val="left" w:pos="426"/>
        </w:tabs>
        <w:spacing w:before="240"/>
        <w:ind w:left="426" w:hanging="426"/>
        <w:rPr>
          <w:rFonts w:ascii="Arial" w:hAnsi="Arial" w:cs="Arial"/>
          <w:b/>
          <w:bCs/>
          <w:lang w:val="id-ID"/>
        </w:rPr>
      </w:pPr>
      <w:r w:rsidRPr="00071789">
        <w:rPr>
          <w:rFonts w:ascii="Arial" w:hAnsi="Arial" w:cs="Arial"/>
          <w:b/>
          <w:bCs/>
          <w:lang w:val="id-ID"/>
        </w:rPr>
        <w:t>RESULTS AND DISCUSSION</w:t>
      </w:r>
      <w:r w:rsidRPr="00071789">
        <w:rPr>
          <w:rFonts w:ascii="Arial" w:hAnsi="Arial" w:cs="Arial"/>
          <w:b/>
          <w:bCs/>
        </w:rPr>
        <w:t xml:space="preserve"> </w:t>
      </w:r>
    </w:p>
    <w:p w14:paraId="473C0DBC" w14:textId="15FF5871" w:rsidR="00E619D6" w:rsidRPr="00071789" w:rsidRDefault="00CE140E" w:rsidP="00A27C7D">
      <w:pPr>
        <w:pStyle w:val="ListParagraph"/>
        <w:numPr>
          <w:ilvl w:val="1"/>
          <w:numId w:val="15"/>
        </w:numPr>
        <w:spacing w:after="0"/>
        <w:ind w:left="426" w:hanging="426"/>
        <w:rPr>
          <w:rFonts w:ascii="Arial" w:hAnsi="Arial" w:cs="Arial"/>
          <w:b/>
          <w:bCs/>
          <w:sz w:val="20"/>
          <w:szCs w:val="20"/>
        </w:rPr>
      </w:pPr>
      <w:r w:rsidRPr="00CE140E">
        <w:rPr>
          <w:rFonts w:ascii="Arial" w:hAnsi="Arial" w:cs="Arial"/>
          <w:b/>
          <w:bCs/>
          <w:sz w:val="20"/>
          <w:szCs w:val="20"/>
        </w:rPr>
        <w:t>The Concept of Online Trading According to Islamic Law</w:t>
      </w:r>
      <w:bookmarkStart w:id="4" w:name="_Hlk79140867"/>
      <w:bookmarkStart w:id="5" w:name="_Hlk79141485"/>
    </w:p>
    <w:p w14:paraId="31E6770D" w14:textId="24EE5320" w:rsidR="00071789" w:rsidRPr="00CE140E" w:rsidRDefault="00CE140E" w:rsidP="00CE140E">
      <w:pPr>
        <w:jc w:val="both"/>
        <w:rPr>
          <w:rFonts w:ascii="Arial" w:hAnsi="Arial" w:cs="Arial"/>
          <w:bCs/>
          <w:lang w:val="id-ID"/>
        </w:rPr>
      </w:pPr>
      <w:r w:rsidRPr="00CE140E">
        <w:rPr>
          <w:rFonts w:ascii="Arial" w:hAnsi="Arial" w:cs="Arial"/>
          <w:bCs/>
          <w:lang w:val="id-ID"/>
        </w:rPr>
        <w:t xml:space="preserve">According to the Fatwa of the National Sharia Council-Indonesian Ulema Council NO:110/DSN-MUI/IX/2017 concerning sales contracts, a sales contract is a contract between the seller (al-ba'i) and the buyer (al-musytari) that results in the transfer of ownership of the object being exchanged (the item [mabi’ or mutsman]) and the price (tsaman). The Arabic term al-bai’ is sometimes used to mean its opposite, namely the word asy-syira (buy). Thus, the term al-bai’ means to sell, but it also means to buy. As for the </w:t>
      </w:r>
      <w:r w:rsidRPr="00CE140E">
        <w:rPr>
          <w:rFonts w:ascii="Arial" w:hAnsi="Arial" w:cs="Arial"/>
          <w:bCs/>
          <w:lang w:val="id-ID"/>
        </w:rPr>
        <w:lastRenderedPageBreak/>
        <w:t>jurists, they define buying and selling in terms of terminology as follows: According to Sayyid Sabiq, buying and selling is “the exchange of one item for another, mutually relinquishing or transferring ownership rights with a substitute in a permissible manner,” According to Hasbi ash-Shiddieqy, buying and selling is “a contract based on the exchange of property for property, thereby resulting in the permanent transfer of ownership rights,” According to Ibn Qudamah, buying and selling is “the mutual exchange of property for property in the form of the transfer of ownership</w:t>
      </w:r>
      <w:r w:rsidR="001921FB" w:rsidRPr="00071789">
        <w:rPr>
          <w:lang w:val="id-ID"/>
        </w:rPr>
        <w:t>”</w:t>
      </w:r>
      <w:r w:rsidR="00071789" w:rsidRPr="00071789">
        <w:rPr>
          <w:lang w:val="id-ID"/>
        </w:rPr>
        <w:t>.</w:t>
      </w:r>
    </w:p>
    <w:bookmarkEnd w:id="4"/>
    <w:bookmarkEnd w:id="5"/>
    <w:p w14:paraId="25A7CC42" w14:textId="54620D3D" w:rsidR="00E619D6" w:rsidRPr="00071789" w:rsidRDefault="00CE140E" w:rsidP="00CE140E">
      <w:pPr>
        <w:pStyle w:val="ListParagraph"/>
        <w:numPr>
          <w:ilvl w:val="1"/>
          <w:numId w:val="15"/>
        </w:numPr>
        <w:spacing w:before="120" w:after="0"/>
        <w:ind w:left="426" w:hanging="426"/>
        <w:rPr>
          <w:rFonts w:ascii="Arial" w:hAnsi="Arial" w:cs="Arial"/>
          <w:b/>
          <w:bCs/>
          <w:sz w:val="20"/>
          <w:szCs w:val="20"/>
        </w:rPr>
      </w:pPr>
      <w:r w:rsidRPr="00CE140E">
        <w:rPr>
          <w:rFonts w:ascii="Arial" w:hAnsi="Arial" w:cs="Arial"/>
          <w:b/>
          <w:bCs/>
          <w:sz w:val="20"/>
          <w:szCs w:val="20"/>
        </w:rPr>
        <w:t>Principles and Requirements of Online Sales and Purchases</w:t>
      </w:r>
    </w:p>
    <w:p w14:paraId="51F1305C" w14:textId="75AD45C0" w:rsidR="00CE140E" w:rsidRDefault="00CE140E" w:rsidP="00CE140E">
      <w:pPr>
        <w:jc w:val="both"/>
        <w:rPr>
          <w:rFonts w:ascii="Arial" w:hAnsi="Arial" w:cs="Arial"/>
          <w:bCs/>
          <w:lang w:val="id-ID"/>
        </w:rPr>
      </w:pPr>
      <w:r w:rsidRPr="00CE140E">
        <w:rPr>
          <w:rFonts w:ascii="Arial" w:hAnsi="Arial" w:cs="Arial"/>
          <w:bCs/>
          <w:lang w:val="id-ID"/>
        </w:rPr>
        <w:t>According to Fiqh Muamalah, the pillars of bai' (sale and purchase) consist of:  The parties, the seller and the buyer are the parties who declare the offer and acceptance of the sale and purchase in this case. The object of sale and purchase must meet the following conditions. Be of sound mind, which means being able to choose what is good for oneself.  Being Muslim, this condition applies specifically to the buyer in certain transactions. For example, it is prohibited to sell goods to non-Muslims, as it is feared that one party may belittle those of the Islamic faith. As Allah states: “And Allah will never grant the disbelievers a way to overcome the believers.” (An-Nisaa’/4:141). Not coerced, the act of buying and selling must be done voluntarily, without coercion or pressure from others. Not wasteful, the parties entering into a sales contract are not wasteful individuals. For a wasteful person is deemed incapable of acting responsibly, meaning they cannot account for their actions. Mature, in Islamic law, the threshold for being considered mature or of age is when a man has had a wet dream or reached the age of fifteen, and for a woman, when she has experienced menstruation</w:t>
      </w:r>
      <w:r w:rsidR="001921FB" w:rsidRPr="00CE140E">
        <w:rPr>
          <w:rFonts w:ascii="Arial" w:hAnsi="Arial" w:cs="Arial"/>
          <w:bCs/>
          <w:lang w:val="id-ID"/>
        </w:rPr>
        <w:t>.</w:t>
      </w:r>
      <w:r>
        <w:rPr>
          <w:rFonts w:ascii="Arial" w:hAnsi="Arial" w:cs="Arial"/>
          <w:bCs/>
          <w:lang w:val="id-ID"/>
        </w:rPr>
        <w:t xml:space="preserve"> </w:t>
      </w:r>
    </w:p>
    <w:p w14:paraId="5B7B8E4B" w14:textId="62F192E4" w:rsidR="001921FB" w:rsidRPr="00CE140E" w:rsidRDefault="00CE140E" w:rsidP="00CE140E">
      <w:pPr>
        <w:jc w:val="both"/>
        <w:rPr>
          <w:rFonts w:ascii="Arial" w:hAnsi="Arial" w:cs="Arial"/>
          <w:bCs/>
          <w:lang w:val="id-ID"/>
        </w:rPr>
      </w:pPr>
      <w:r w:rsidRPr="00CE140E">
        <w:rPr>
          <w:rStyle w:val="fontstyle01"/>
          <w:rFonts w:ascii="Arial" w:hAnsi="Arial" w:cs="Arial"/>
          <w:b w:val="0"/>
          <w:bCs w:val="0"/>
        </w:rPr>
        <w:t xml:space="preserve">Object: Based on the Compilation of Sharia Economic Law Article 58, “The object of sale and purchase consists of tangible and intangible objects, movable and immovable objects, and registered and unregistered objects.” For an object to be valid, it must meet the following criteria (Siregar, 2022): The object must be clean, and the object being sold must not be prohibited. Such as intoxicating beverages, idols, carcasses, and pigs. Beneficial, meaning that the benefit does not contradict Islamic religious rules. All forms of benefit must align with Islamic values, such as justice, honesty, and concern for others (Nasir Hassan Wani, 2023). For example, purchasing an item for a specific purpose or need. The property of the party </w:t>
      </w:r>
      <w:proofErr w:type="gramStart"/>
      <w:r w:rsidRPr="00CE140E">
        <w:rPr>
          <w:rStyle w:val="fontstyle01"/>
          <w:rFonts w:ascii="Arial" w:hAnsi="Arial" w:cs="Arial"/>
          <w:b w:val="0"/>
          <w:bCs w:val="0"/>
        </w:rPr>
        <w:t>entering into</w:t>
      </w:r>
      <w:proofErr w:type="gramEnd"/>
      <w:r w:rsidRPr="00CE140E">
        <w:rPr>
          <w:rStyle w:val="fontstyle01"/>
          <w:rFonts w:ascii="Arial" w:hAnsi="Arial" w:cs="Arial"/>
          <w:b w:val="0"/>
          <w:bCs w:val="0"/>
        </w:rPr>
        <w:t xml:space="preserve"> the contract, meaning the rightful owner of the item or the person authorized by the owner to bind themselves to purchase the item. Ability to deliver; Ability to deliver means the sale and purchase of the item cannot be transferred due to the possibility of fraud or dissatisfaction for one of the parties. Knowledge; Knowledge means both parties are aware of the price, payment terms, and condition of the item, including quality and quantity. The item being sold is in the seller's possession; this refers to the prohibition of selling an item that is not yet in the seller's possession, as the item may be damaged or unable to be delivered as agreed. Offer and acceptance; offer and acceptance are actions or statements indicating consent to either accept or deliver. Valid conditions for </w:t>
      </w:r>
      <w:proofErr w:type="spellStart"/>
      <w:r w:rsidRPr="00CE140E">
        <w:rPr>
          <w:rStyle w:val="fontstyle01"/>
          <w:rFonts w:ascii="Arial" w:hAnsi="Arial" w:cs="Arial"/>
          <w:b w:val="0"/>
          <w:bCs w:val="0"/>
        </w:rPr>
        <w:t>Ijab</w:t>
      </w:r>
      <w:proofErr w:type="spellEnd"/>
      <w:r w:rsidRPr="00CE140E">
        <w:rPr>
          <w:rStyle w:val="fontstyle01"/>
          <w:rFonts w:ascii="Arial" w:hAnsi="Arial" w:cs="Arial"/>
          <w:b w:val="0"/>
          <w:bCs w:val="0"/>
        </w:rPr>
        <w:t xml:space="preserve"> Kabul according to Fiqh scholars: </w:t>
      </w:r>
      <w:proofErr w:type="gramStart"/>
      <w:r w:rsidRPr="00CE140E">
        <w:rPr>
          <w:rStyle w:val="fontstyle01"/>
          <w:rFonts w:ascii="Arial" w:hAnsi="Arial" w:cs="Arial"/>
          <w:b w:val="0"/>
          <w:bCs w:val="0"/>
        </w:rPr>
        <w:t>The majority of</w:t>
      </w:r>
      <w:proofErr w:type="gramEnd"/>
      <w:r w:rsidRPr="00CE140E">
        <w:rPr>
          <w:rStyle w:val="fontstyle01"/>
          <w:rFonts w:ascii="Arial" w:hAnsi="Arial" w:cs="Arial"/>
          <w:b w:val="0"/>
          <w:bCs w:val="0"/>
        </w:rPr>
        <w:t xml:space="preserve"> scholars opine that the person uttering </w:t>
      </w:r>
      <w:proofErr w:type="spellStart"/>
      <w:r w:rsidRPr="00CE140E">
        <w:rPr>
          <w:rStyle w:val="fontstyle01"/>
          <w:rFonts w:ascii="Arial" w:hAnsi="Arial" w:cs="Arial"/>
          <w:b w:val="0"/>
          <w:bCs w:val="0"/>
        </w:rPr>
        <w:t>Ijab</w:t>
      </w:r>
      <w:proofErr w:type="spellEnd"/>
      <w:r w:rsidRPr="00CE140E">
        <w:rPr>
          <w:rStyle w:val="fontstyle01"/>
          <w:rFonts w:ascii="Arial" w:hAnsi="Arial" w:cs="Arial"/>
          <w:b w:val="0"/>
          <w:bCs w:val="0"/>
        </w:rPr>
        <w:t xml:space="preserve"> Kabul must be of sound mind and legal age. Meanwhile, Hanafi scholars only require sound mind. The acceptance (by the seller) must correspond with the offer (by the buyer). This means that both parties mutually agree on the goods and price being traded. The offer and acceptance are conducted in a single transaction, meaning both parties are present at the same place and time</w:t>
      </w:r>
      <w:r w:rsidR="001921FB" w:rsidRPr="00CE140E">
        <w:rPr>
          <w:rFonts w:ascii="Arial" w:hAnsi="Arial" w:cs="Arial"/>
        </w:rPr>
        <w:t>.</w:t>
      </w:r>
    </w:p>
    <w:p w14:paraId="49EA6E5E" w14:textId="2CD79104" w:rsidR="00B568CB" w:rsidRPr="00071789" w:rsidRDefault="00CE140E" w:rsidP="00CE140E">
      <w:pPr>
        <w:pStyle w:val="ListParagraph"/>
        <w:numPr>
          <w:ilvl w:val="1"/>
          <w:numId w:val="15"/>
        </w:numPr>
        <w:spacing w:before="120" w:after="0"/>
        <w:ind w:left="426" w:hanging="426"/>
        <w:rPr>
          <w:rFonts w:ascii="Arial" w:hAnsi="Arial" w:cs="Arial"/>
          <w:b/>
          <w:bCs/>
          <w:color w:val="000000"/>
          <w:sz w:val="20"/>
          <w:szCs w:val="20"/>
        </w:rPr>
      </w:pPr>
      <w:r w:rsidRPr="00CE140E">
        <w:rPr>
          <w:rFonts w:ascii="Arial" w:hAnsi="Arial" w:cs="Arial"/>
          <w:b/>
          <w:bCs/>
          <w:sz w:val="20"/>
          <w:szCs w:val="20"/>
        </w:rPr>
        <w:t>Definition of Children</w:t>
      </w:r>
    </w:p>
    <w:p w14:paraId="79B7097C" w14:textId="6173BD0B" w:rsidR="00176A16" w:rsidRPr="00071789" w:rsidRDefault="00CE140E" w:rsidP="00CE140E">
      <w:pPr>
        <w:jc w:val="both"/>
        <w:rPr>
          <w:rFonts w:ascii="Arial" w:hAnsi="Arial" w:cs="Arial"/>
        </w:rPr>
      </w:pPr>
      <w:r w:rsidRPr="00CE140E">
        <w:rPr>
          <w:rFonts w:ascii="Arial" w:hAnsi="Arial" w:cs="Arial"/>
        </w:rPr>
        <w:t xml:space="preserve">According to the four schools of Islamic jurisprudence, namely Imam Abu Hanifah, Imam Malik, Imam Shafi'i, and Imam Ahmad bin Hanbal, lineage or family ties are based on blood relations, both ascending and descending. In Islam, children are also considered a gift from Allah the Almighty to their parents and have rights that must be protected. The rights of children in Islam include the right to life from before birth, the right to lineage (family lineage), the right to care and affection, the right to education, health, protection from violence, and the right to maintenance or the fulfillment of material and non-material needs (Jauhari et al., 2023). Islamic scholars also divide children into two groups, namely </w:t>
      </w:r>
      <w:proofErr w:type="spellStart"/>
      <w:r w:rsidRPr="00CE140E">
        <w:rPr>
          <w:rFonts w:ascii="Arial" w:hAnsi="Arial" w:cs="Arial"/>
        </w:rPr>
        <w:t>mumayiz</w:t>
      </w:r>
      <w:proofErr w:type="spellEnd"/>
      <w:r w:rsidRPr="00CE140E">
        <w:rPr>
          <w:rFonts w:ascii="Arial" w:hAnsi="Arial" w:cs="Arial"/>
        </w:rPr>
        <w:t xml:space="preserve"> and </w:t>
      </w:r>
      <w:proofErr w:type="spellStart"/>
      <w:r w:rsidRPr="00CE140E">
        <w:rPr>
          <w:rFonts w:ascii="Arial" w:hAnsi="Arial" w:cs="Arial"/>
        </w:rPr>
        <w:t>ghairu</w:t>
      </w:r>
      <w:proofErr w:type="spellEnd"/>
      <w:r w:rsidRPr="00CE140E">
        <w:rPr>
          <w:rFonts w:ascii="Arial" w:hAnsi="Arial" w:cs="Arial"/>
        </w:rPr>
        <w:t xml:space="preserve"> </w:t>
      </w:r>
      <w:proofErr w:type="spellStart"/>
      <w:r w:rsidRPr="00CE140E">
        <w:rPr>
          <w:rFonts w:ascii="Arial" w:hAnsi="Arial" w:cs="Arial"/>
        </w:rPr>
        <w:t>mumayiz</w:t>
      </w:r>
      <w:proofErr w:type="spellEnd"/>
      <w:r w:rsidRPr="00CE140E">
        <w:rPr>
          <w:rFonts w:ascii="Arial" w:hAnsi="Arial" w:cs="Arial"/>
        </w:rPr>
        <w:t xml:space="preserve">. </w:t>
      </w:r>
      <w:proofErr w:type="spellStart"/>
      <w:r w:rsidRPr="00CE140E">
        <w:rPr>
          <w:rFonts w:ascii="Arial" w:hAnsi="Arial" w:cs="Arial"/>
        </w:rPr>
        <w:t>Mumayiz</w:t>
      </w:r>
      <w:proofErr w:type="spellEnd"/>
      <w:r w:rsidRPr="00CE140E">
        <w:rPr>
          <w:rFonts w:ascii="Arial" w:hAnsi="Arial" w:cs="Arial"/>
        </w:rPr>
        <w:t xml:space="preserve"> are children who </w:t>
      </w:r>
      <w:proofErr w:type="gramStart"/>
      <w:r w:rsidRPr="00CE140E">
        <w:rPr>
          <w:rFonts w:ascii="Arial" w:hAnsi="Arial" w:cs="Arial"/>
        </w:rPr>
        <w:t>are able to</w:t>
      </w:r>
      <w:proofErr w:type="gramEnd"/>
      <w:r w:rsidRPr="00CE140E">
        <w:rPr>
          <w:rFonts w:ascii="Arial" w:hAnsi="Arial" w:cs="Arial"/>
        </w:rPr>
        <w:t xml:space="preserve"> distinguish between right and wrong, while </w:t>
      </w:r>
      <w:proofErr w:type="spellStart"/>
      <w:r w:rsidRPr="00CE140E">
        <w:rPr>
          <w:rFonts w:ascii="Arial" w:hAnsi="Arial" w:cs="Arial"/>
        </w:rPr>
        <w:t>ghairu</w:t>
      </w:r>
      <w:proofErr w:type="spellEnd"/>
      <w:r w:rsidRPr="00CE140E">
        <w:rPr>
          <w:rFonts w:ascii="Arial" w:hAnsi="Arial" w:cs="Arial"/>
        </w:rPr>
        <w:t xml:space="preserve"> </w:t>
      </w:r>
      <w:proofErr w:type="spellStart"/>
      <w:r w:rsidRPr="00CE140E">
        <w:rPr>
          <w:rFonts w:ascii="Arial" w:hAnsi="Arial" w:cs="Arial"/>
        </w:rPr>
        <w:t>mumayiz</w:t>
      </w:r>
      <w:proofErr w:type="spellEnd"/>
      <w:r w:rsidRPr="00CE140E">
        <w:rPr>
          <w:rFonts w:ascii="Arial" w:hAnsi="Arial" w:cs="Arial"/>
        </w:rPr>
        <w:t xml:space="preserve"> are children who are not yet able to distinguish between what is beneficial and harmful. The opinions of scholars regarding the age of adulthood are as follows: The Shafi’i and Hanbali schools of thought, as well as one narration from Abu Hanifah, state that the age of adulthood is 15 (fifteen) years for both males and females. The Maliki school of thought has several opinions stating that the age of maturity is 18 (eighteen) years for both males and females, 19 (nineteen) years, 17 (seventeen) years, and 16 (sixteen) years. Ibn Hazm opines that it is 19 (nineteen) years. The age of puberty for boys is when they experience nocturnal emissions (wet dreams). For girls, it is when they experience menstruation. However, if it is difficult to determine whether someone has experienced nocturnal emissions (or, for girls, if menstruation is delayed or absent), the sign of puberty is the growth of pubic hair. A child is considered to have reached puberty, </w:t>
      </w:r>
      <w:r w:rsidRPr="00CE140E">
        <w:rPr>
          <w:rFonts w:ascii="Arial" w:hAnsi="Arial" w:cs="Arial"/>
        </w:rPr>
        <w:lastRenderedPageBreak/>
        <w:t>or the age of legal responsibility, if they exhibit any of the above signs. They must perform worship and all obligatory acts</w:t>
      </w:r>
      <w:r w:rsidR="001921FB" w:rsidRPr="00071789">
        <w:rPr>
          <w:rFonts w:ascii="Arial" w:hAnsi="Arial" w:cs="Arial"/>
        </w:rPr>
        <w:t>.</w:t>
      </w:r>
    </w:p>
    <w:p w14:paraId="10B4E7A8" w14:textId="1E1E341C" w:rsidR="00176A16" w:rsidRPr="00071789" w:rsidRDefault="00176A16" w:rsidP="00CE140E">
      <w:pPr>
        <w:pStyle w:val="ListParagraph"/>
        <w:numPr>
          <w:ilvl w:val="1"/>
          <w:numId w:val="15"/>
        </w:numPr>
        <w:spacing w:after="0"/>
        <w:ind w:left="426" w:hanging="426"/>
        <w:rPr>
          <w:rFonts w:ascii="Arial" w:hAnsi="Arial" w:cs="Arial"/>
          <w:color w:val="000000"/>
          <w:sz w:val="20"/>
          <w:szCs w:val="20"/>
        </w:rPr>
      </w:pPr>
      <w:r w:rsidRPr="00071789">
        <w:rPr>
          <w:b/>
          <w:bCs/>
        </w:rPr>
        <w:t>Keabsahan</w:t>
      </w:r>
      <w:r w:rsidRPr="00071789">
        <w:rPr>
          <w:rStyle w:val="fontstyle01"/>
          <w:rFonts w:ascii="Arial" w:hAnsi="Arial" w:cs="Arial"/>
          <w:b w:val="0"/>
          <w:bCs w:val="0"/>
        </w:rPr>
        <w:t xml:space="preserve"> </w:t>
      </w:r>
      <w:r w:rsidRPr="00071789">
        <w:rPr>
          <w:rStyle w:val="fontstyle01"/>
          <w:rFonts w:ascii="Arial" w:hAnsi="Arial" w:cs="Arial"/>
        </w:rPr>
        <w:t xml:space="preserve">Jual Beli Online Yang </w:t>
      </w:r>
      <w:proofErr w:type="spellStart"/>
      <w:r w:rsidRPr="00071789">
        <w:rPr>
          <w:rStyle w:val="fontstyle01"/>
          <w:rFonts w:ascii="Arial" w:hAnsi="Arial" w:cs="Arial"/>
        </w:rPr>
        <w:t>Dilakukan</w:t>
      </w:r>
      <w:proofErr w:type="spellEnd"/>
      <w:r w:rsidRPr="00071789">
        <w:rPr>
          <w:rStyle w:val="fontstyle01"/>
          <w:rFonts w:ascii="Arial" w:hAnsi="Arial" w:cs="Arial"/>
        </w:rPr>
        <w:t xml:space="preserve"> Oleh Anak </w:t>
      </w:r>
      <w:proofErr w:type="spellStart"/>
      <w:r w:rsidRPr="00071789">
        <w:rPr>
          <w:rStyle w:val="fontstyle01"/>
          <w:rFonts w:ascii="Arial" w:hAnsi="Arial" w:cs="Arial"/>
        </w:rPr>
        <w:t>Menurut</w:t>
      </w:r>
      <w:proofErr w:type="spellEnd"/>
      <w:r w:rsidRPr="00071789">
        <w:rPr>
          <w:rStyle w:val="fontstyle01"/>
          <w:rFonts w:ascii="Arial" w:hAnsi="Arial" w:cs="Arial"/>
        </w:rPr>
        <w:t xml:space="preserve"> Hukum Islam</w:t>
      </w:r>
    </w:p>
    <w:p w14:paraId="6A68D429" w14:textId="54517A4E" w:rsidR="00176A16" w:rsidRPr="00071789" w:rsidRDefault="00986F9D" w:rsidP="00CE140E">
      <w:pPr>
        <w:jc w:val="both"/>
        <w:rPr>
          <w:rFonts w:ascii="Arial" w:hAnsi="Arial" w:cs="Arial"/>
          <w:iCs/>
        </w:rPr>
      </w:pPr>
      <w:r w:rsidRPr="00986F9D">
        <w:rPr>
          <w:rFonts w:ascii="Arial" w:hAnsi="Arial" w:cs="Arial"/>
        </w:rPr>
        <w:t>Online shopping, or e-commerce, has become a global phenomenon in recent years and has changed the way people shop and do business. High internet penetration, easy access to mobile devices, and changes in people's lifestyles have driven this phenomenon in Indonesia. Many e-commerce platforms serve as business venues for consumers and businesses, reflecting this change in behavior. Online shopping is now more popular because it is easily accessible and can be done using a smartphone. With this convenience, consumers feel more satisfied because the shopping process becomes more practical, does not require much time or effort, and can be done anytime and anywhere (Muhtadi, 2023)</w:t>
      </w:r>
      <w:r w:rsidR="001A2B6B" w:rsidRPr="00071789">
        <w:rPr>
          <w:rFonts w:ascii="Arial" w:hAnsi="Arial" w:cs="Arial"/>
          <w:iCs/>
        </w:rPr>
        <w:t>.</w:t>
      </w:r>
    </w:p>
    <w:p w14:paraId="0915D695" w14:textId="1930472D" w:rsidR="00176A16" w:rsidRPr="00071789" w:rsidRDefault="00986F9D" w:rsidP="00CE140E">
      <w:pPr>
        <w:jc w:val="both"/>
        <w:rPr>
          <w:rFonts w:ascii="Arial" w:hAnsi="Arial" w:cs="Arial"/>
        </w:rPr>
      </w:pPr>
      <w:r w:rsidRPr="00986F9D">
        <w:rPr>
          <w:rFonts w:ascii="Arial" w:hAnsi="Arial" w:cs="Arial"/>
          <w:iCs/>
        </w:rPr>
        <w:t>Another common reason is price comparison. Compared to offline stores, online shopping tends to be cheaper and offers a variety of discounts and promotions. The ease of access, product variety, and payment and delivery systems can be utilized by anyone, from minors to adults (- et al., 2023). There are no age restrictions for individuals engaging in e-commerce transactions. Minors can participate in e-commerce transactions both as business operators and consumers. E-commerce transactions are regulated under Law No. 11 of 2008 on Information and Electronic Transactions, as amended by Law No. 19 of 2016 on Amendments to Law No. 11 of 2008 on Information and Electronic Transactions (ITE Law). However, the ITE Law does not regulate age restrictions for individuals engaging in e-commerce</w:t>
      </w:r>
      <w:r w:rsidR="001921FB" w:rsidRPr="00071789">
        <w:rPr>
          <w:rFonts w:ascii="Arial" w:hAnsi="Arial" w:cs="Arial"/>
        </w:rPr>
        <w:t>.</w:t>
      </w:r>
    </w:p>
    <w:p w14:paraId="6116FEB9" w14:textId="2367FBFD" w:rsidR="00CE140E" w:rsidRDefault="00986F9D" w:rsidP="00CE140E">
      <w:pPr>
        <w:jc w:val="both"/>
        <w:rPr>
          <w:rFonts w:ascii="Arial" w:hAnsi="Arial" w:cs="Arial"/>
        </w:rPr>
      </w:pPr>
      <w:r w:rsidRPr="00986F9D">
        <w:rPr>
          <w:rFonts w:ascii="Arial" w:hAnsi="Arial" w:cs="Arial"/>
        </w:rPr>
        <w:t xml:space="preserve">In Islamic law, buying and selling is one of the </w:t>
      </w:r>
      <w:proofErr w:type="spellStart"/>
      <w:r w:rsidRPr="00986F9D">
        <w:rPr>
          <w:rFonts w:ascii="Arial" w:hAnsi="Arial" w:cs="Arial"/>
        </w:rPr>
        <w:t>muamalah</w:t>
      </w:r>
      <w:proofErr w:type="spellEnd"/>
      <w:r w:rsidRPr="00986F9D">
        <w:rPr>
          <w:rFonts w:ascii="Arial" w:hAnsi="Arial" w:cs="Arial"/>
        </w:rPr>
        <w:t xml:space="preserve"> activities called “al-bai</w:t>
      </w:r>
      <w:proofErr w:type="gramStart"/>
      <w:r w:rsidRPr="00986F9D">
        <w:rPr>
          <w:rFonts w:ascii="Arial" w:hAnsi="Arial" w:cs="Arial"/>
        </w:rPr>
        <w:t>”,</w:t>
      </w:r>
      <w:proofErr w:type="gramEnd"/>
      <w:r w:rsidRPr="00986F9D">
        <w:rPr>
          <w:rFonts w:ascii="Arial" w:hAnsi="Arial" w:cs="Arial"/>
        </w:rPr>
        <w:t xml:space="preserve"> which is an agreement in which two parties voluntarily exchange goods of value, with the first party receiving goods and the other party receiving goods in accordance with an agreement that is justified by sharia and agreed upon (</w:t>
      </w:r>
      <w:proofErr w:type="spellStart"/>
      <w:r w:rsidRPr="00986F9D">
        <w:rPr>
          <w:rFonts w:ascii="Arial" w:hAnsi="Arial" w:cs="Arial"/>
        </w:rPr>
        <w:t>Saputri</w:t>
      </w:r>
      <w:proofErr w:type="spellEnd"/>
      <w:r w:rsidRPr="00986F9D">
        <w:rPr>
          <w:rFonts w:ascii="Arial" w:hAnsi="Arial" w:cs="Arial"/>
        </w:rPr>
        <w:t xml:space="preserve"> et al., 2021). In accordance with legal provisions, this means fulfilling the requirements, conditions, and other elements related to buying and selling. If these conditions and elements are not met, then the transaction does not comply with the provisions of Islamic law. The provisions of Islamic law referred to in Fiqh </w:t>
      </w:r>
      <w:proofErr w:type="spellStart"/>
      <w:r w:rsidRPr="00986F9D">
        <w:rPr>
          <w:rFonts w:ascii="Arial" w:hAnsi="Arial" w:cs="Arial"/>
        </w:rPr>
        <w:t>Muamalah</w:t>
      </w:r>
      <w:proofErr w:type="spellEnd"/>
      <w:r w:rsidRPr="00986F9D">
        <w:rPr>
          <w:rFonts w:ascii="Arial" w:hAnsi="Arial" w:cs="Arial"/>
        </w:rPr>
        <w:t xml:space="preserve"> are the elements and conditions of buying and selling, namely</w:t>
      </w:r>
      <w:r w:rsidR="00CE140E">
        <w:rPr>
          <w:rFonts w:ascii="Arial" w:hAnsi="Arial" w:cs="Arial"/>
        </w:rPr>
        <w:t xml:space="preserve">. </w:t>
      </w:r>
    </w:p>
    <w:p w14:paraId="39DD3D3B" w14:textId="377ED3EB" w:rsidR="00CE140E" w:rsidRDefault="00986F9D" w:rsidP="00CE140E">
      <w:pPr>
        <w:jc w:val="both"/>
        <w:rPr>
          <w:rFonts w:ascii="Arial" w:hAnsi="Arial" w:cs="Arial"/>
        </w:rPr>
      </w:pPr>
      <w:proofErr w:type="spellStart"/>
      <w:r w:rsidRPr="00986F9D">
        <w:rPr>
          <w:rFonts w:ascii="Arial" w:hAnsi="Arial" w:cs="Arial"/>
        </w:rPr>
        <w:t>Ijab</w:t>
      </w:r>
      <w:proofErr w:type="spellEnd"/>
      <w:r w:rsidRPr="00986F9D">
        <w:rPr>
          <w:rFonts w:ascii="Arial" w:hAnsi="Arial" w:cs="Arial"/>
        </w:rPr>
        <w:t xml:space="preserve"> Kabul, </w:t>
      </w:r>
      <w:proofErr w:type="gramStart"/>
      <w:r w:rsidRPr="00986F9D">
        <w:rPr>
          <w:rFonts w:ascii="Arial" w:hAnsi="Arial" w:cs="Arial"/>
        </w:rPr>
        <w:t>There</w:t>
      </w:r>
      <w:proofErr w:type="gramEnd"/>
      <w:r w:rsidRPr="00986F9D">
        <w:rPr>
          <w:rFonts w:ascii="Arial" w:hAnsi="Arial" w:cs="Arial"/>
        </w:rPr>
        <w:t xml:space="preserve"> is a verbal contract made between the seller and the buyer. Before </w:t>
      </w:r>
      <w:proofErr w:type="spellStart"/>
      <w:r w:rsidRPr="00986F9D">
        <w:rPr>
          <w:rFonts w:ascii="Arial" w:hAnsi="Arial" w:cs="Arial"/>
        </w:rPr>
        <w:t>ijab</w:t>
      </w:r>
      <w:proofErr w:type="spellEnd"/>
      <w:r w:rsidRPr="00986F9D">
        <w:rPr>
          <w:rFonts w:ascii="Arial" w:hAnsi="Arial" w:cs="Arial"/>
        </w:rPr>
        <w:t xml:space="preserve"> </w:t>
      </w:r>
      <w:proofErr w:type="spellStart"/>
      <w:r w:rsidRPr="00986F9D">
        <w:rPr>
          <w:rFonts w:ascii="Arial" w:hAnsi="Arial" w:cs="Arial"/>
        </w:rPr>
        <w:t>kabul</w:t>
      </w:r>
      <w:proofErr w:type="spellEnd"/>
      <w:r w:rsidRPr="00986F9D">
        <w:rPr>
          <w:rFonts w:ascii="Arial" w:hAnsi="Arial" w:cs="Arial"/>
        </w:rPr>
        <w:t xml:space="preserve"> is performed, the sale and purchase </w:t>
      </w:r>
      <w:proofErr w:type="gramStart"/>
      <w:r w:rsidRPr="00986F9D">
        <w:rPr>
          <w:rFonts w:ascii="Arial" w:hAnsi="Arial" w:cs="Arial"/>
        </w:rPr>
        <w:t>is</w:t>
      </w:r>
      <w:proofErr w:type="gramEnd"/>
      <w:r w:rsidRPr="00986F9D">
        <w:rPr>
          <w:rFonts w:ascii="Arial" w:hAnsi="Arial" w:cs="Arial"/>
        </w:rPr>
        <w:t xml:space="preserve"> not considered valid because </w:t>
      </w:r>
      <w:proofErr w:type="spellStart"/>
      <w:r w:rsidRPr="00986F9D">
        <w:rPr>
          <w:rFonts w:ascii="Arial" w:hAnsi="Arial" w:cs="Arial"/>
        </w:rPr>
        <w:t>ijab</w:t>
      </w:r>
      <w:proofErr w:type="spellEnd"/>
      <w:r w:rsidRPr="00986F9D">
        <w:rPr>
          <w:rFonts w:ascii="Arial" w:hAnsi="Arial" w:cs="Arial"/>
        </w:rPr>
        <w:t xml:space="preserve"> </w:t>
      </w:r>
      <w:proofErr w:type="spellStart"/>
      <w:r w:rsidRPr="00986F9D">
        <w:rPr>
          <w:rFonts w:ascii="Arial" w:hAnsi="Arial" w:cs="Arial"/>
        </w:rPr>
        <w:t>kabul</w:t>
      </w:r>
      <w:proofErr w:type="spellEnd"/>
      <w:r w:rsidRPr="00986F9D">
        <w:rPr>
          <w:rFonts w:ascii="Arial" w:hAnsi="Arial" w:cs="Arial"/>
        </w:rPr>
        <w:t xml:space="preserve"> indicates willingness or consent. Most </w:t>
      </w:r>
      <w:proofErr w:type="spellStart"/>
      <w:r w:rsidRPr="00986F9D">
        <w:rPr>
          <w:rFonts w:ascii="Arial" w:hAnsi="Arial" w:cs="Arial"/>
        </w:rPr>
        <w:t>ijab</w:t>
      </w:r>
      <w:proofErr w:type="spellEnd"/>
      <w:r w:rsidRPr="00986F9D">
        <w:rPr>
          <w:rFonts w:ascii="Arial" w:hAnsi="Arial" w:cs="Arial"/>
        </w:rPr>
        <w:t xml:space="preserve"> </w:t>
      </w:r>
      <w:proofErr w:type="spellStart"/>
      <w:r w:rsidRPr="00986F9D">
        <w:rPr>
          <w:rFonts w:ascii="Arial" w:hAnsi="Arial" w:cs="Arial"/>
        </w:rPr>
        <w:t>kabul</w:t>
      </w:r>
      <w:proofErr w:type="spellEnd"/>
      <w:r w:rsidRPr="00986F9D">
        <w:rPr>
          <w:rFonts w:ascii="Arial" w:hAnsi="Arial" w:cs="Arial"/>
        </w:rPr>
        <w:t xml:space="preserve"> is performed verbally, but in cases where this is not possible (for example, because someone is speech impaired or mute), it can be done through correspondence containing the sale and purchase agreement. In a contract, what is most important is the intention and will, not the conversation or statement. The sale and purchase contract </w:t>
      </w:r>
      <w:proofErr w:type="gramStart"/>
      <w:r w:rsidRPr="00986F9D">
        <w:rPr>
          <w:rFonts w:ascii="Arial" w:hAnsi="Arial" w:cs="Arial"/>
        </w:rPr>
        <w:t>is</w:t>
      </w:r>
      <w:proofErr w:type="gramEnd"/>
      <w:r w:rsidRPr="00986F9D">
        <w:rPr>
          <w:rFonts w:ascii="Arial" w:hAnsi="Arial" w:cs="Arial"/>
        </w:rPr>
        <w:t xml:space="preserve"> conveyed through an agent, intermediary, writing, or correspondence, just as the </w:t>
      </w:r>
      <w:proofErr w:type="spellStart"/>
      <w:r w:rsidRPr="00986F9D">
        <w:rPr>
          <w:rFonts w:ascii="Arial" w:hAnsi="Arial" w:cs="Arial"/>
        </w:rPr>
        <w:t>ijab</w:t>
      </w:r>
      <w:proofErr w:type="spellEnd"/>
      <w:r w:rsidRPr="00986F9D">
        <w:rPr>
          <w:rFonts w:ascii="Arial" w:hAnsi="Arial" w:cs="Arial"/>
        </w:rPr>
        <w:t xml:space="preserve"> </w:t>
      </w:r>
      <w:proofErr w:type="spellStart"/>
      <w:r w:rsidRPr="00986F9D">
        <w:rPr>
          <w:rFonts w:ascii="Arial" w:hAnsi="Arial" w:cs="Arial"/>
        </w:rPr>
        <w:t>kabul</w:t>
      </w:r>
      <w:proofErr w:type="spellEnd"/>
      <w:r w:rsidRPr="00986F9D">
        <w:rPr>
          <w:rFonts w:ascii="Arial" w:hAnsi="Arial" w:cs="Arial"/>
        </w:rPr>
        <w:t xml:space="preserve"> is done verbally, for example through the Post Office and Giro. This sale and purchase </w:t>
      </w:r>
      <w:proofErr w:type="gramStart"/>
      <w:r w:rsidRPr="00986F9D">
        <w:rPr>
          <w:rFonts w:ascii="Arial" w:hAnsi="Arial" w:cs="Arial"/>
        </w:rPr>
        <w:t>is</w:t>
      </w:r>
      <w:proofErr w:type="gramEnd"/>
      <w:r w:rsidRPr="00986F9D">
        <w:rPr>
          <w:rFonts w:ascii="Arial" w:hAnsi="Arial" w:cs="Arial"/>
        </w:rPr>
        <w:t xml:space="preserve"> conducted between the seller and buyer without them being face-to-face, but it can be done through the Post Office and Giro if permitted by Islamic law (Shifa, 2021)</w:t>
      </w:r>
      <w:r w:rsidR="001921FB" w:rsidRPr="00071789">
        <w:rPr>
          <w:rFonts w:ascii="Arial" w:hAnsi="Arial" w:cs="Arial"/>
        </w:rPr>
        <w:t>.</w:t>
      </w:r>
    </w:p>
    <w:p w14:paraId="5E8FC598" w14:textId="6D8F4D7B" w:rsidR="001921FB" w:rsidRPr="00071789" w:rsidRDefault="00986F9D" w:rsidP="00986F9D">
      <w:pPr>
        <w:jc w:val="both"/>
        <w:rPr>
          <w:rFonts w:ascii="Arial" w:hAnsi="Arial" w:cs="Arial"/>
        </w:rPr>
      </w:pPr>
      <w:r w:rsidRPr="00986F9D">
        <w:rPr>
          <w:rFonts w:ascii="Arial" w:hAnsi="Arial" w:cs="Arial"/>
        </w:rPr>
        <w:t>Subject of the Contract, Mature, of sound mind to avoid fraud. Contracts are not valid for minors, the insane, and the mentally disabled because they are incapable of managing property. According to Islamic law, there is no measurable age to determine maturity, but only certain signs, such as wet dreams in boys and menstruation in girls. Subject of the Contract, the objective of the sale and purchase may be tangible or intangible, transferable, have a market value, be halal, and be understood by the buyer. Prohibited items such as alcohol, pork, and others are forbidden to be sold as they are considered invalid for violating Islamic law</w:t>
      </w:r>
      <w:r w:rsidR="001921FB" w:rsidRPr="00071789">
        <w:rPr>
          <w:rFonts w:ascii="Arial" w:hAnsi="Arial" w:cs="Arial"/>
        </w:rPr>
        <w:t xml:space="preserve">. </w:t>
      </w:r>
    </w:p>
    <w:p w14:paraId="78017CB6" w14:textId="5E4A7889" w:rsidR="001921FB" w:rsidRPr="00071789" w:rsidRDefault="00986F9D" w:rsidP="00CE140E">
      <w:pPr>
        <w:jc w:val="both"/>
        <w:rPr>
          <w:rFonts w:ascii="Arial" w:hAnsi="Arial" w:cs="Arial"/>
        </w:rPr>
      </w:pPr>
      <w:r w:rsidRPr="00986F9D">
        <w:rPr>
          <w:rFonts w:ascii="Arial" w:hAnsi="Arial" w:cs="Arial"/>
        </w:rPr>
        <w:t>The permissibility of buying and selling is also agreed upon by the scholars. In terms of buying and selling, humans clearly have a great need for it. In terms of obtaining money and goods, people depend on one another. If there is no reciprocity, it cannot be given for free. The basic ruling on buying and selling is permissible (</w:t>
      </w:r>
      <w:proofErr w:type="spellStart"/>
      <w:r w:rsidRPr="00986F9D">
        <w:rPr>
          <w:rFonts w:ascii="Arial" w:hAnsi="Arial" w:cs="Arial"/>
        </w:rPr>
        <w:t>mubah</w:t>
      </w:r>
      <w:proofErr w:type="spellEnd"/>
      <w:r w:rsidRPr="00986F9D">
        <w:rPr>
          <w:rFonts w:ascii="Arial" w:hAnsi="Arial" w:cs="Arial"/>
        </w:rPr>
        <w:t>), provided it meets the conditions and pillars established by Islamic law, such as the consent of both parties, clarity regarding the goods and price, and the absence of deception or uncertainty (</w:t>
      </w:r>
      <w:proofErr w:type="spellStart"/>
      <w:r w:rsidRPr="00986F9D">
        <w:rPr>
          <w:rFonts w:ascii="Arial" w:hAnsi="Arial" w:cs="Arial"/>
        </w:rPr>
        <w:t>gharar</w:t>
      </w:r>
      <w:proofErr w:type="spellEnd"/>
      <w:r w:rsidRPr="00986F9D">
        <w:rPr>
          <w:rFonts w:ascii="Arial" w:hAnsi="Arial" w:cs="Arial"/>
        </w:rPr>
        <w:t>) (</w:t>
      </w:r>
      <w:proofErr w:type="spellStart"/>
      <w:r w:rsidRPr="00986F9D">
        <w:rPr>
          <w:rFonts w:ascii="Arial" w:hAnsi="Arial" w:cs="Arial"/>
        </w:rPr>
        <w:t>Ajir</w:t>
      </w:r>
      <w:proofErr w:type="spellEnd"/>
      <w:r w:rsidRPr="00986F9D">
        <w:rPr>
          <w:rFonts w:ascii="Arial" w:hAnsi="Arial" w:cs="Arial"/>
        </w:rPr>
        <w:t>, 2022). Therefore, buying and selling is permitted to achieve objectives based on wisdom. If there is a violation of Sharia law, the basic law of buying and selling may deviate from Sharia. Thus, there are forms of buying and selling that are prohibited. Buying and selling as a means of mutual assistance among fellow human beings has a strong foundation in the Quran, the Sunnah of the Prophet Muhammad (peace be upon him), and consensus</w:t>
      </w:r>
      <w:r w:rsidR="001921FB" w:rsidRPr="00071789">
        <w:rPr>
          <w:rFonts w:ascii="Arial" w:hAnsi="Arial" w:cs="Arial"/>
        </w:rPr>
        <w:t xml:space="preserve">`. </w:t>
      </w:r>
    </w:p>
    <w:p w14:paraId="6C1A5D08" w14:textId="39452651" w:rsidR="001921FB" w:rsidRPr="00071789" w:rsidRDefault="00986F9D" w:rsidP="00CE140E">
      <w:pPr>
        <w:jc w:val="both"/>
        <w:rPr>
          <w:rFonts w:ascii="Arial" w:hAnsi="Arial" w:cs="Arial"/>
        </w:rPr>
      </w:pPr>
      <w:r w:rsidRPr="00986F9D">
        <w:rPr>
          <w:rFonts w:ascii="Arial" w:hAnsi="Arial" w:cs="Arial"/>
        </w:rPr>
        <w:t xml:space="preserve">Imam Shafi'i has views on buying and selling. The first is that Allah permits any transaction between two people involving goods that are permissible to buy and sell, based on mutual consent. The second is that Allah permits buying and selling if the goods are not prohibited by the Prophet Muhammad, who has the authority to explain the meaning of what comes from Allah. In essence, any transaction is permissible if it is based on the mutual consent of two parties who are permitted to sell permissible goods, except for goods prohibited by the Prophet Muhammad. Thus, what is prohibited by the Prophet Muhammad is automatically considered haram (forbidden) and carries the meaning of being prohibited. The Shafi'i school of thought has </w:t>
      </w:r>
      <w:proofErr w:type="gramStart"/>
      <w:r w:rsidRPr="00986F9D">
        <w:rPr>
          <w:rFonts w:ascii="Arial" w:hAnsi="Arial" w:cs="Arial"/>
        </w:rPr>
        <w:t>a fairly accommodating</w:t>
      </w:r>
      <w:proofErr w:type="gramEnd"/>
      <w:r w:rsidRPr="00986F9D">
        <w:rPr>
          <w:rFonts w:ascii="Arial" w:hAnsi="Arial" w:cs="Arial"/>
        </w:rPr>
        <w:t xml:space="preserve"> view toward online transactions. In general, online transactions are permissible (</w:t>
      </w:r>
      <w:proofErr w:type="spellStart"/>
      <w:r w:rsidRPr="00986F9D">
        <w:rPr>
          <w:rFonts w:ascii="Arial" w:hAnsi="Arial" w:cs="Arial"/>
        </w:rPr>
        <w:t>mubah</w:t>
      </w:r>
      <w:proofErr w:type="spellEnd"/>
      <w:r w:rsidRPr="00986F9D">
        <w:rPr>
          <w:rFonts w:ascii="Arial" w:hAnsi="Arial" w:cs="Arial"/>
        </w:rPr>
        <w:t xml:space="preserve">) </w:t>
      </w:r>
      <w:proofErr w:type="gramStart"/>
      <w:r w:rsidRPr="00986F9D">
        <w:rPr>
          <w:rFonts w:ascii="Arial" w:hAnsi="Arial" w:cs="Arial"/>
        </w:rPr>
        <w:t>as long as</w:t>
      </w:r>
      <w:proofErr w:type="gramEnd"/>
      <w:r w:rsidRPr="00986F9D">
        <w:rPr>
          <w:rFonts w:ascii="Arial" w:hAnsi="Arial" w:cs="Arial"/>
        </w:rPr>
        <w:t xml:space="preserve"> they meet the conditions and pillars of Islamic transactions </w:t>
      </w:r>
      <w:proofErr w:type="gramStart"/>
      <w:r w:rsidRPr="00986F9D">
        <w:rPr>
          <w:rFonts w:ascii="Arial" w:hAnsi="Arial" w:cs="Arial"/>
        </w:rPr>
        <w:t>and also</w:t>
      </w:r>
      <w:proofErr w:type="gramEnd"/>
      <w:r w:rsidRPr="00986F9D">
        <w:rPr>
          <w:rFonts w:ascii="Arial" w:hAnsi="Arial" w:cs="Arial"/>
        </w:rPr>
        <w:t xml:space="preserve"> to foster mutual </w:t>
      </w:r>
      <w:r w:rsidRPr="00986F9D">
        <w:rPr>
          <w:rFonts w:ascii="Arial" w:hAnsi="Arial" w:cs="Arial"/>
        </w:rPr>
        <w:lastRenderedPageBreak/>
        <w:t xml:space="preserve">goodwill among the parties, who must adhere to the principles of good faith and caution. The principle of good faith refers to honesty in providing clear information about the item. The principle of caution means that the item being sold exists and can be bought and sold fairly. </w:t>
      </w:r>
      <w:proofErr w:type="gramStart"/>
      <w:r w:rsidRPr="00986F9D">
        <w:rPr>
          <w:rFonts w:ascii="Arial" w:hAnsi="Arial" w:cs="Arial"/>
        </w:rPr>
        <w:t>Similar to</w:t>
      </w:r>
      <w:proofErr w:type="gramEnd"/>
      <w:r w:rsidRPr="00986F9D">
        <w:rPr>
          <w:rFonts w:ascii="Arial" w:hAnsi="Arial" w:cs="Arial"/>
        </w:rPr>
        <w:t xml:space="preserve"> the school of thought of Imam Shafi’i, Ibn Taymiyyah opines that online transactions are permissible </w:t>
      </w:r>
      <w:proofErr w:type="gramStart"/>
      <w:r w:rsidRPr="00986F9D">
        <w:rPr>
          <w:rFonts w:ascii="Arial" w:hAnsi="Arial" w:cs="Arial"/>
        </w:rPr>
        <w:t>as long as</w:t>
      </w:r>
      <w:proofErr w:type="gramEnd"/>
      <w:r w:rsidRPr="00986F9D">
        <w:rPr>
          <w:rFonts w:ascii="Arial" w:hAnsi="Arial" w:cs="Arial"/>
        </w:rPr>
        <w:t xml:space="preserve"> they do not contradict Islamic law. The contract must be based on mutual consent and willingness, and such willingness must align with the provisions of Islamic law and not contradict the principles of Islamic jurisprudence</w:t>
      </w:r>
      <w:r w:rsidR="001921FB" w:rsidRPr="00071789">
        <w:rPr>
          <w:rFonts w:ascii="Arial" w:hAnsi="Arial" w:cs="Arial"/>
        </w:rPr>
        <w:t xml:space="preserve">. </w:t>
      </w:r>
    </w:p>
    <w:p w14:paraId="54F09788" w14:textId="47CE0820" w:rsidR="001921FB" w:rsidRPr="00071789" w:rsidRDefault="00986F9D" w:rsidP="00CE140E">
      <w:pPr>
        <w:jc w:val="both"/>
        <w:rPr>
          <w:rFonts w:ascii="Arial" w:hAnsi="Arial" w:cs="Arial"/>
        </w:rPr>
      </w:pPr>
      <w:r w:rsidRPr="00986F9D">
        <w:rPr>
          <w:rFonts w:ascii="Arial" w:hAnsi="Arial" w:cs="Arial"/>
        </w:rPr>
        <w:t xml:space="preserve">The age limit for children who are considered capable of conducting online transactions is another issue. It is very important to determine the age of adulthood because it will determine whether a person's legal actions are valid and their ability to carry them out. According to the KBBI (Big Indonesian Dictionary), “adult” means having reached a certain age or no longer being a child. However, the concept of adulthood is inconsistent and contradictory, as someone may be biologically adult and exhibit adult behavioral traits, but if legally considered under the age of majority, they are treated like children. Conversely, someone who is legally considered an adult and legally competent can be defined in different ways, such as: In Article 330 of the Civil Code, minors are those who have not reached the age of 21 and have not been married before. Article 45 of the Criminal Code states that minors are those who have not reached the age of 21 and have not been married. If a person marries and divorces before the age of 21, they are still considered an adult. The Compilation of Islamic Law states that the age limit for a child to be considered independent or an adult is 21 years old. This applies </w:t>
      </w:r>
      <w:proofErr w:type="gramStart"/>
      <w:r w:rsidRPr="00986F9D">
        <w:rPr>
          <w:rFonts w:ascii="Arial" w:hAnsi="Arial" w:cs="Arial"/>
        </w:rPr>
        <w:t>as long as</w:t>
      </w:r>
      <w:proofErr w:type="gramEnd"/>
      <w:r w:rsidRPr="00986F9D">
        <w:rPr>
          <w:rFonts w:ascii="Arial" w:hAnsi="Arial" w:cs="Arial"/>
        </w:rPr>
        <w:t xml:space="preserve"> the child has no physical or mental disabilities and has not been married. Law No. 1 of 1974 on Marriage states that a child who is 18 years old is an adult. Law of the Republic of Indonesia No. 39 of 1999 on Human Rights states that a child is any human being under the age of 18 and who has not been married, including a child who is still in the womb</w:t>
      </w:r>
      <w:r w:rsidR="001921FB" w:rsidRPr="00071789">
        <w:rPr>
          <w:rFonts w:ascii="Arial" w:hAnsi="Arial" w:cs="Arial"/>
        </w:rPr>
        <w:t xml:space="preserve">. </w:t>
      </w:r>
    </w:p>
    <w:p w14:paraId="2CF2114D" w14:textId="08F1458E" w:rsidR="001921FB" w:rsidRPr="00071789" w:rsidRDefault="00986F9D" w:rsidP="00CE140E">
      <w:pPr>
        <w:jc w:val="both"/>
        <w:rPr>
          <w:rFonts w:ascii="Arial" w:hAnsi="Arial" w:cs="Arial"/>
          <w:color w:val="C0504D" w:themeColor="accent2"/>
        </w:rPr>
      </w:pPr>
      <w:r w:rsidRPr="00986F9D">
        <w:rPr>
          <w:rFonts w:ascii="Arial" w:hAnsi="Arial" w:cs="Arial"/>
        </w:rPr>
        <w:t xml:space="preserve">Therefore, according to Article 1320 of the Civil Code, which explains the requirements for an agreement, the subjective requirements include agreement and competence, while the objective requirements are a specific matter and a lawful cause. Online sales transactions conducted by minors can be considered valid, but the agreement can be canceled because it does not meet one of the requirements for a valid agreement, namely competence. Article 1330 further states that there are certain individuals who lack the capacity to </w:t>
      </w:r>
      <w:proofErr w:type="gramStart"/>
      <w:r w:rsidRPr="00986F9D">
        <w:rPr>
          <w:rFonts w:ascii="Arial" w:hAnsi="Arial" w:cs="Arial"/>
        </w:rPr>
        <w:t>enter into</w:t>
      </w:r>
      <w:proofErr w:type="gramEnd"/>
      <w:r w:rsidRPr="00986F9D">
        <w:rPr>
          <w:rFonts w:ascii="Arial" w:hAnsi="Arial" w:cs="Arial"/>
        </w:rPr>
        <w:t xml:space="preserve"> a contract, one of whom is a minor. From an Islamic legal perspective, the validity of a sale and purchase agreement is determined by the contract itself. In Islamic law, the validity of a sale and purchase agreement is determined by the contract. A sale and purchase transaction </w:t>
      </w:r>
      <w:proofErr w:type="gramStart"/>
      <w:r w:rsidRPr="00986F9D">
        <w:rPr>
          <w:rFonts w:ascii="Arial" w:hAnsi="Arial" w:cs="Arial"/>
        </w:rPr>
        <w:t>is</w:t>
      </w:r>
      <w:proofErr w:type="gramEnd"/>
      <w:r w:rsidRPr="00986F9D">
        <w:rPr>
          <w:rFonts w:ascii="Arial" w:hAnsi="Arial" w:cs="Arial"/>
        </w:rPr>
        <w:t xml:space="preserve"> valid if it meets the conditions and requirements of the transaction. Most scholars agree that a sale and purchase agreement is valid </w:t>
      </w:r>
      <w:proofErr w:type="gramStart"/>
      <w:r w:rsidRPr="00986F9D">
        <w:rPr>
          <w:rFonts w:ascii="Arial" w:hAnsi="Arial" w:cs="Arial"/>
        </w:rPr>
        <w:t>as long as</w:t>
      </w:r>
      <w:proofErr w:type="gramEnd"/>
      <w:r w:rsidRPr="00986F9D">
        <w:rPr>
          <w:rFonts w:ascii="Arial" w:hAnsi="Arial" w:cs="Arial"/>
        </w:rPr>
        <w:t xml:space="preserve"> it does not contain any elements of haram, </w:t>
      </w:r>
      <w:proofErr w:type="spellStart"/>
      <w:r w:rsidRPr="00986F9D">
        <w:rPr>
          <w:rFonts w:ascii="Arial" w:hAnsi="Arial" w:cs="Arial"/>
        </w:rPr>
        <w:t>riba</w:t>
      </w:r>
      <w:proofErr w:type="spellEnd"/>
      <w:r w:rsidRPr="00986F9D">
        <w:rPr>
          <w:rFonts w:ascii="Arial" w:hAnsi="Arial" w:cs="Arial"/>
        </w:rPr>
        <w:t xml:space="preserve">, or </w:t>
      </w:r>
      <w:proofErr w:type="spellStart"/>
      <w:r w:rsidRPr="00986F9D">
        <w:rPr>
          <w:rFonts w:ascii="Arial" w:hAnsi="Arial" w:cs="Arial"/>
        </w:rPr>
        <w:t>syara</w:t>
      </w:r>
      <w:proofErr w:type="spellEnd"/>
      <w:r w:rsidRPr="00986F9D">
        <w:rPr>
          <w:rFonts w:ascii="Arial" w:hAnsi="Arial" w:cs="Arial"/>
        </w:rPr>
        <w:t xml:space="preserve">. If all the conditions and requirements are met and there is no fraud, coercion, or even </w:t>
      </w:r>
      <w:proofErr w:type="spellStart"/>
      <w:r w:rsidRPr="00986F9D">
        <w:rPr>
          <w:rFonts w:ascii="Arial" w:hAnsi="Arial" w:cs="Arial"/>
        </w:rPr>
        <w:t>riba</w:t>
      </w:r>
      <w:proofErr w:type="spellEnd"/>
      <w:r w:rsidRPr="00986F9D">
        <w:rPr>
          <w:rFonts w:ascii="Arial" w:hAnsi="Arial" w:cs="Arial"/>
        </w:rPr>
        <w:t xml:space="preserve"> involved, the online sale and purchase transaction is certainly valid. Conversely, if the conditions and requirements of the contract and sale and purchase are not met, the sale and purchase is invalid (Arifin et al., 2024)</w:t>
      </w:r>
      <w:r w:rsidR="001921FB" w:rsidRPr="00071789">
        <w:rPr>
          <w:rFonts w:ascii="Arial" w:hAnsi="Arial" w:cs="Arial"/>
        </w:rPr>
        <w:t>.</w:t>
      </w:r>
    </w:p>
    <w:p w14:paraId="277F2942" w14:textId="75560D61" w:rsidR="001921FB" w:rsidRPr="00071789" w:rsidRDefault="00986F9D" w:rsidP="00CE140E">
      <w:pPr>
        <w:jc w:val="both"/>
        <w:rPr>
          <w:rFonts w:ascii="Arial" w:hAnsi="Arial" w:cs="Arial"/>
        </w:rPr>
      </w:pPr>
      <w:r w:rsidRPr="00986F9D">
        <w:rPr>
          <w:rFonts w:ascii="Arial" w:hAnsi="Arial" w:cs="Arial"/>
        </w:rPr>
        <w:t xml:space="preserve">Although Imam Shafi'i permits online transactions, regarding the legal status of children who engage in online transactions, Imam Shafi'i argues that such transactions are not valid. This differs from the opinions of Imam Hanafi and Hanbali, who maintain that transactions conducted by minors are valid if they are </w:t>
      </w:r>
      <w:proofErr w:type="spellStart"/>
      <w:r w:rsidRPr="00986F9D">
        <w:rPr>
          <w:rFonts w:ascii="Arial" w:hAnsi="Arial" w:cs="Arial"/>
        </w:rPr>
        <w:t>mumayyiz</w:t>
      </w:r>
      <w:proofErr w:type="spellEnd"/>
      <w:r w:rsidRPr="00986F9D">
        <w:rPr>
          <w:rFonts w:ascii="Arial" w:hAnsi="Arial" w:cs="Arial"/>
        </w:rPr>
        <w:t xml:space="preserve"> (able to distinguish between good and bad) and have obtained permission from their guardian. If these conditions are met, the transaction is valid or permissible. Conversely, if any condition is not met, the transaction becomes invalid. It may even be considered haram. According to Islamic law, those entitled to engage in transactions must possess four qualities: freedom, maturity, sound mind, and wisdom. Generally, transactions conducted by minors are invalid. Even if the minor is a teenager, intelligent, and skilled in transactions. This is based on the ruling in Surat An-</w:t>
      </w:r>
      <w:proofErr w:type="spellStart"/>
      <w:r w:rsidRPr="00986F9D">
        <w:rPr>
          <w:rFonts w:ascii="Arial" w:hAnsi="Arial" w:cs="Arial"/>
        </w:rPr>
        <w:t>Nisāʻ</w:t>
      </w:r>
      <w:proofErr w:type="spellEnd"/>
      <w:r w:rsidRPr="00986F9D">
        <w:rPr>
          <w:rFonts w:ascii="Arial" w:hAnsi="Arial" w:cs="Arial"/>
        </w:rPr>
        <w:t xml:space="preserve"> verse 6, as cited by Bela et al. (2022).</w:t>
      </w:r>
      <w:r w:rsidR="00E532EF" w:rsidRPr="00071789">
        <w:rPr>
          <w:rFonts w:ascii="Arial" w:hAnsi="Arial" w:cs="Arial"/>
        </w:rPr>
        <w:t>:</w:t>
      </w:r>
    </w:p>
    <w:p w14:paraId="4091EBF3" w14:textId="77777777" w:rsidR="001921FB" w:rsidRPr="00071789" w:rsidRDefault="001921FB" w:rsidP="00986F9D">
      <w:pPr>
        <w:pStyle w:val="BodyText2"/>
        <w:spacing w:after="0" w:line="240" w:lineRule="auto"/>
        <w:ind w:left="709"/>
        <w:jc w:val="center"/>
        <w:rPr>
          <w:rFonts w:ascii="Arial" w:hAnsi="Arial" w:cs="Arial"/>
          <w:lang w:val="en"/>
        </w:rPr>
      </w:pPr>
      <w:r w:rsidRPr="00071789">
        <w:rPr>
          <w:rFonts w:ascii="Arial" w:hAnsi="Arial" w:cs="Arial"/>
          <w:rtl/>
        </w:rPr>
        <w:t>وَابْتَلُوا الْيَتٰمٰى حَتّٰىٓ اِذَا بَلَغُوا النِّكَاحَۚ فَاِنْ اٰنَسْتُمْ مِّنْهُمْ رُشْدًا فَادْفَعُوْٓا اِلَيْهِمْ اَمْوَالَهُمْۚ وَلَا تَأْكُلُوْهَآ اِسْرَافًا وَّبِدَارًا اَنْ يَّكْبَرُوْاۗ وَمَنْ كَانَ غَنِيًّا فَلْيَسْتَعْفِفْۚ وَمَنْ كَانَ فَقِيْرًا فَلْيَأْكُلْ بِالْمَعْرُوْفِۗ فَاِذَا دَفَعْتُمْ اِلَيْهِمْ اَمْوَالَهُمْ فَاَشْهِدُوْا عَلَيْهِمْۗ وَكَفٰى بِاللّٰهِ حَسِيْبًا</w:t>
      </w:r>
    </w:p>
    <w:p w14:paraId="0A50A746" w14:textId="3720C165" w:rsidR="00B52FF6" w:rsidRPr="00071789" w:rsidRDefault="00986F9D" w:rsidP="00986F9D">
      <w:pPr>
        <w:jc w:val="both"/>
        <w:rPr>
          <w:rFonts w:ascii="Arial" w:hAnsi="Arial" w:cs="Arial"/>
        </w:rPr>
      </w:pPr>
      <w:r w:rsidRPr="00986F9D">
        <w:rPr>
          <w:rFonts w:ascii="Arial" w:hAnsi="Arial" w:cs="Arial"/>
        </w:rPr>
        <w:t>Meaning: Test the orphans (in terms of managing their wealth) until they are old enough to marry. Then, if in your judgment they are capable (of managing their wealth), hand over their wealth to them. Do not consume their wealth beyond what is appropriate, and do not rush to spend it before they come of age. Whoever among the guardians is capable should refrain from consuming the orphans' property, and whoever is in need may consume it in a proper manner. When you hand over the property to them, have witnesses present. Allah is sufficient as a witness</w:t>
      </w:r>
      <w:r w:rsidR="001921FB" w:rsidRPr="00071789">
        <w:rPr>
          <w:rStyle w:val="block"/>
          <w:rFonts w:ascii="Arial" w:hAnsi="Arial" w:cs="Arial"/>
        </w:rPr>
        <w:t>.</w:t>
      </w:r>
    </w:p>
    <w:p w14:paraId="4CC9F6CF" w14:textId="0823947D" w:rsidR="001921FB" w:rsidRPr="00CE140E" w:rsidRDefault="00986F9D" w:rsidP="00CE140E">
      <w:pPr>
        <w:jc w:val="both"/>
        <w:rPr>
          <w:rFonts w:ascii="Arial" w:hAnsi="Arial" w:cs="Arial"/>
        </w:rPr>
      </w:pPr>
      <w:r w:rsidRPr="00986F9D">
        <w:rPr>
          <w:rFonts w:ascii="Arial" w:hAnsi="Arial" w:cs="Arial"/>
        </w:rPr>
        <w:t xml:space="preserve">In Islam, the validity of online transactions conducted by children depends on several factors, namely: Children who are not yet </w:t>
      </w:r>
      <w:proofErr w:type="spellStart"/>
      <w:r w:rsidRPr="00986F9D">
        <w:rPr>
          <w:rFonts w:ascii="Arial" w:hAnsi="Arial" w:cs="Arial"/>
        </w:rPr>
        <w:t>mumayyiz</w:t>
      </w:r>
      <w:proofErr w:type="spellEnd"/>
      <w:r w:rsidRPr="00986F9D">
        <w:rPr>
          <w:rFonts w:ascii="Arial" w:hAnsi="Arial" w:cs="Arial"/>
        </w:rPr>
        <w:t xml:space="preserve">: Children who are not yet </w:t>
      </w:r>
      <w:proofErr w:type="spellStart"/>
      <w:r w:rsidRPr="00986F9D">
        <w:rPr>
          <w:rFonts w:ascii="Arial" w:hAnsi="Arial" w:cs="Arial"/>
        </w:rPr>
        <w:t>mumayyiz</w:t>
      </w:r>
      <w:proofErr w:type="spellEnd"/>
      <w:r w:rsidRPr="00986F9D">
        <w:rPr>
          <w:rFonts w:ascii="Arial" w:hAnsi="Arial" w:cs="Arial"/>
        </w:rPr>
        <w:t xml:space="preserve"> (unable to distinguish between good and bad) are not permitted to conduct online or offline transactions. All transactions they conduct are considered invalid. A child who is </w:t>
      </w:r>
      <w:proofErr w:type="spellStart"/>
      <w:r w:rsidRPr="00986F9D">
        <w:rPr>
          <w:rFonts w:ascii="Arial" w:hAnsi="Arial" w:cs="Arial"/>
        </w:rPr>
        <w:t>mumayyiz</w:t>
      </w:r>
      <w:proofErr w:type="spellEnd"/>
      <w:r w:rsidRPr="00986F9D">
        <w:rPr>
          <w:rFonts w:ascii="Arial" w:hAnsi="Arial" w:cs="Arial"/>
        </w:rPr>
        <w:t xml:space="preserve">: A child who is </w:t>
      </w:r>
      <w:proofErr w:type="spellStart"/>
      <w:r w:rsidRPr="00986F9D">
        <w:rPr>
          <w:rFonts w:ascii="Arial" w:hAnsi="Arial" w:cs="Arial"/>
        </w:rPr>
        <w:t>mumayyiz</w:t>
      </w:r>
      <w:proofErr w:type="spellEnd"/>
      <w:r w:rsidRPr="00986F9D">
        <w:rPr>
          <w:rFonts w:ascii="Arial" w:hAnsi="Arial" w:cs="Arial"/>
        </w:rPr>
        <w:t xml:space="preserve"> (able to distinguish between good and bad) may engage in online transactions provided that:  Parental consent: A parent plays a crucial role in a child's online transactions. The child must obtain permission from their parent before engaging in online transactions, ensuring that the items purchased are appropriate for the child's needs and capabilities, and supervising the online transaction process to prevent the child from being deceived or harmed.  The </w:t>
      </w:r>
      <w:r w:rsidRPr="00986F9D">
        <w:rPr>
          <w:rFonts w:ascii="Arial" w:hAnsi="Arial" w:cs="Arial"/>
        </w:rPr>
        <w:lastRenderedPageBreak/>
        <w:t xml:space="preserve">purchased item has a low value: The item purchased by the </w:t>
      </w:r>
      <w:proofErr w:type="spellStart"/>
      <w:r w:rsidRPr="00986F9D">
        <w:rPr>
          <w:rFonts w:ascii="Arial" w:hAnsi="Arial" w:cs="Arial"/>
        </w:rPr>
        <w:t>mumayyiz</w:t>
      </w:r>
      <w:proofErr w:type="spellEnd"/>
      <w:r w:rsidRPr="00986F9D">
        <w:rPr>
          <w:rFonts w:ascii="Arial" w:hAnsi="Arial" w:cs="Arial"/>
        </w:rPr>
        <w:t xml:space="preserve"> child must not have a high value. Examples include: school supplies, simple toys, snacks, or religious necessities. Does not cause harm: Online transactions must not harm the child or others</w:t>
      </w:r>
      <w:r w:rsidR="001921FB" w:rsidRPr="00CE140E">
        <w:rPr>
          <w:rFonts w:ascii="Arial" w:hAnsi="Arial" w:cs="Arial"/>
        </w:rPr>
        <w:t>.</w:t>
      </w:r>
    </w:p>
    <w:p w14:paraId="001976A4" w14:textId="68ED9D65" w:rsidR="00B52FF6" w:rsidRPr="00071789" w:rsidRDefault="00B52FF6" w:rsidP="00071789">
      <w:pPr>
        <w:jc w:val="both"/>
        <w:rPr>
          <w:rFonts w:ascii="Arial" w:hAnsi="Arial" w:cs="Arial"/>
        </w:rPr>
      </w:pPr>
    </w:p>
    <w:p w14:paraId="7EBC2D64" w14:textId="7120EAE8" w:rsidR="00B52FF6" w:rsidRPr="00071789" w:rsidRDefault="00986F9D" w:rsidP="00CE140E">
      <w:pPr>
        <w:pStyle w:val="ListParagraph"/>
        <w:numPr>
          <w:ilvl w:val="1"/>
          <w:numId w:val="15"/>
        </w:numPr>
        <w:spacing w:after="0"/>
        <w:ind w:left="426" w:hanging="426"/>
        <w:rPr>
          <w:rFonts w:ascii="Arial" w:hAnsi="Arial" w:cs="Arial"/>
          <w:sz w:val="20"/>
          <w:szCs w:val="20"/>
        </w:rPr>
      </w:pPr>
      <w:r w:rsidRPr="00986F9D">
        <w:rPr>
          <w:b/>
          <w:bCs/>
        </w:rPr>
        <w:t>Legal Consequences for Children Who Engage in Online Trading According to Islamic Law and Civil Law</w:t>
      </w:r>
    </w:p>
    <w:p w14:paraId="1336FA1D" w14:textId="13EC3C90" w:rsidR="001921FB" w:rsidRPr="00071789" w:rsidRDefault="00986F9D" w:rsidP="00CE140E">
      <w:pPr>
        <w:jc w:val="both"/>
        <w:rPr>
          <w:rFonts w:ascii="Arial" w:hAnsi="Arial" w:cs="Arial"/>
        </w:rPr>
      </w:pPr>
      <w:r w:rsidRPr="00986F9D">
        <w:rPr>
          <w:rFonts w:ascii="Arial" w:hAnsi="Arial" w:cs="Arial"/>
        </w:rPr>
        <w:t xml:space="preserve">In human society, </w:t>
      </w:r>
      <w:proofErr w:type="spellStart"/>
      <w:r w:rsidRPr="00986F9D">
        <w:rPr>
          <w:rFonts w:ascii="Arial" w:hAnsi="Arial" w:cs="Arial"/>
        </w:rPr>
        <w:t>every day</w:t>
      </w:r>
      <w:proofErr w:type="spellEnd"/>
      <w:r w:rsidRPr="00986F9D">
        <w:rPr>
          <w:rFonts w:ascii="Arial" w:hAnsi="Arial" w:cs="Arial"/>
        </w:rPr>
        <w:t xml:space="preserve"> people always perform actions to fulfill their interests. All actions intentionally performed by an individual to create rights and obligations, such as drafting a will or entering into agreements, are referred to as legal acts (Kansil C.S.T., 1989: 119). Legal acts consist of: Unilateral legal acts, which are acts performed by one party alone and create rights and obligations for that party. Examples include making a will and a gift. Bilateral legal acts, which are acts performed by two parties and create rights and obligations for both parties (mutually beneficial), such as entering into a sales agreement or a lease agreement. According to R. </w:t>
      </w:r>
      <w:proofErr w:type="spellStart"/>
      <w:r w:rsidRPr="00986F9D">
        <w:rPr>
          <w:rFonts w:ascii="Arial" w:hAnsi="Arial" w:cs="Arial"/>
        </w:rPr>
        <w:t>Soeroso</w:t>
      </w:r>
      <w:proofErr w:type="spellEnd"/>
      <w:r w:rsidRPr="00986F9D">
        <w:rPr>
          <w:rFonts w:ascii="Arial" w:hAnsi="Arial" w:cs="Arial"/>
        </w:rPr>
        <w:t>, a legal act is any intentional human act that creates rights and obligations. A legal act is any act of a legal subject (human or legal entity) whose consequences are regulated by law, as those consequences can be considered the will of the person performing the act</w:t>
      </w:r>
      <w:r w:rsidR="001921FB" w:rsidRPr="00071789">
        <w:rPr>
          <w:rFonts w:ascii="Arial" w:hAnsi="Arial" w:cs="Arial"/>
        </w:rPr>
        <w:t xml:space="preserve">. </w:t>
      </w:r>
    </w:p>
    <w:p w14:paraId="1214BC8B" w14:textId="00DCA9FE" w:rsidR="001921FB" w:rsidRPr="00071789" w:rsidRDefault="00986F9D" w:rsidP="00CE140E">
      <w:pPr>
        <w:jc w:val="both"/>
        <w:rPr>
          <w:rFonts w:ascii="Arial" w:hAnsi="Arial" w:cs="Arial"/>
        </w:rPr>
      </w:pPr>
      <w:r w:rsidRPr="00986F9D">
        <w:rPr>
          <w:rFonts w:ascii="Arial" w:hAnsi="Arial" w:cs="Arial"/>
        </w:rPr>
        <w:t>An adult who makes a mistake or intentionally harms another person is usually considered to have committed a legal act. However, in the case of buying and selling, a child can also commit a legal act. Since there is no direct contact between the seller and the buyer in online buying and selling, children can bind themselves in a buying and selling agreement. A child who engages in electronic commerce through a buying and selling forum or e-commerce must meet one of the conditions mentioned in Article 1320 of the Civil Code, which contains the requirements for an agreement, namely competence, as well as meet one of the pillars and requirements of buying and selling in Islamic law, namely the subject. In civil law, children are considered legally incompetent because they are not yet able to take responsibility for their own actions. Children are considered to not meet the requirements in civil law and Islamic law (</w:t>
      </w:r>
      <w:proofErr w:type="spellStart"/>
      <w:r w:rsidRPr="00986F9D">
        <w:rPr>
          <w:rFonts w:ascii="Arial" w:hAnsi="Arial" w:cs="Arial"/>
        </w:rPr>
        <w:t>Isroqunnajah</w:t>
      </w:r>
      <w:proofErr w:type="spellEnd"/>
      <w:r w:rsidRPr="00986F9D">
        <w:rPr>
          <w:rFonts w:ascii="Arial" w:hAnsi="Arial" w:cs="Arial"/>
        </w:rPr>
        <w:t xml:space="preserve"> et al., 2024). In civil law, legal competence is defined as a person's ability to perform legal acts and take responsibility for the consequences. Islamic law defines legal capacity as </w:t>
      </w:r>
      <w:proofErr w:type="spellStart"/>
      <w:r w:rsidRPr="00986F9D">
        <w:rPr>
          <w:rFonts w:ascii="Arial" w:hAnsi="Arial" w:cs="Arial"/>
        </w:rPr>
        <w:t>ahliyah</w:t>
      </w:r>
      <w:proofErr w:type="spellEnd"/>
      <w:r w:rsidRPr="00986F9D">
        <w:rPr>
          <w:rFonts w:ascii="Arial" w:hAnsi="Arial" w:cs="Arial"/>
        </w:rPr>
        <w:t>, which means the ability of a person to understand and carry out religious obligations and refrain from religious prohibitions</w:t>
      </w:r>
      <w:r w:rsidR="00DE2004" w:rsidRPr="00071789">
        <w:rPr>
          <w:rFonts w:ascii="Arial" w:hAnsi="Arial" w:cs="Arial"/>
        </w:rPr>
        <w:t xml:space="preserve">. </w:t>
      </w:r>
    </w:p>
    <w:p w14:paraId="1DE3108F" w14:textId="74E95348" w:rsidR="00B52FF6" w:rsidRPr="00071789" w:rsidRDefault="00986F9D" w:rsidP="00CE140E">
      <w:pPr>
        <w:jc w:val="both"/>
        <w:rPr>
          <w:rStyle w:val="hgkelc"/>
          <w:rFonts w:ascii="Arial" w:hAnsi="Arial" w:cs="Arial"/>
        </w:rPr>
      </w:pPr>
      <w:bookmarkStart w:id="6" w:name="_Hlk199931386"/>
      <w:r w:rsidRPr="00986F9D">
        <w:rPr>
          <w:rFonts w:ascii="Arial" w:hAnsi="Arial" w:cs="Arial"/>
        </w:rPr>
        <w:t>Age restrictions for making purchases are not set by the terms and conditions typically applied by online sellers on e-commerce forums or online stores. Reputable online sellers often advise their buyers to be careful and vigilant when making transactions. Therefore, sellers on online shopping forums advise potential buyers to be cautious before making a purchase by checking the items they want, paying attention to the specifications described by the seller in each of their posts. With parental consent and the product being sold, online transactions made by children can be valid. Since children are still under the care of their parents, parents are responsible for any legal violations committed by their children. This is explained in Article 1367 of the Civil Code, which states that “a person is not only responsible for losses caused by their own actions but also for the actions of those under their care or the items under their supervision</w:t>
      </w:r>
      <w:r w:rsidR="00B52FF6" w:rsidRPr="00071789">
        <w:rPr>
          <w:rStyle w:val="hgkelc"/>
          <w:rFonts w:ascii="Arial" w:hAnsi="Arial" w:cs="Arial"/>
          <w:lang w:val="id-ID"/>
        </w:rPr>
        <w:t>.</w:t>
      </w:r>
    </w:p>
    <w:p w14:paraId="3C7529A0" w14:textId="12E5064C" w:rsidR="00B52FF6" w:rsidRPr="00071789" w:rsidRDefault="00986F9D" w:rsidP="00CE140E">
      <w:pPr>
        <w:jc w:val="both"/>
        <w:rPr>
          <w:rStyle w:val="Strong"/>
          <w:rFonts w:ascii="Arial" w:hAnsi="Arial" w:cs="Arial"/>
          <w:b w:val="0"/>
          <w:bCs w:val="0"/>
        </w:rPr>
      </w:pPr>
      <w:bookmarkStart w:id="7" w:name="_Hlk199931398"/>
      <w:bookmarkEnd w:id="6"/>
      <w:r w:rsidRPr="00986F9D">
        <w:rPr>
          <w:rStyle w:val="hgkelc"/>
          <w:rFonts w:ascii="Arial" w:hAnsi="Arial" w:cs="Arial"/>
        </w:rPr>
        <w:t>Similarly, in Islamic law, parents have a great responsibility towards their children, especially those who are still minors. Based on the Compilation of Islamic Law, Article 98 paragraph (2), which states, “Parents represent their children in all legal matters inside and outside the court.” In the case of goods being bought and sold, there are also instances where children are permitted to sell inexpensive items without their parents' consent. Currently, online transactions conducted by minors are quite common. For example, selling dolls, bracelets, stationery, and other low-value items. Every legal act inevitably results in legal consequences. This is regulated in Article 1331 of the Civil Code (</w:t>
      </w:r>
      <w:proofErr w:type="spellStart"/>
      <w:r w:rsidRPr="00986F9D">
        <w:rPr>
          <w:rStyle w:val="hgkelc"/>
          <w:rFonts w:ascii="Arial" w:hAnsi="Arial" w:cs="Arial"/>
        </w:rPr>
        <w:t>KUHPerdata</w:t>
      </w:r>
      <w:proofErr w:type="spellEnd"/>
      <w:r w:rsidRPr="00986F9D">
        <w:rPr>
          <w:rStyle w:val="hgkelc"/>
          <w:rFonts w:ascii="Arial" w:hAnsi="Arial" w:cs="Arial"/>
        </w:rPr>
        <w:t>), which states that every valid agreement under the law imposes an obligation on both parties to fulfill what has been agreed upon. Legal consequences are the result of a breach of the law, which may include rights and obligations for the parties involved in the breach. Children under the age of 18 are considered legally incapable of entering into agreements and other legal acts, including online transactions. Therefore, online transactions conducted by children under the age of 18 are invalid and lack the necessary legal validity to be enforceable</w:t>
      </w:r>
      <w:r w:rsidR="00B52FF6" w:rsidRPr="00071789">
        <w:rPr>
          <w:rStyle w:val="Strong"/>
          <w:rFonts w:ascii="Arial" w:hAnsi="Arial" w:cs="Arial"/>
          <w:b w:val="0"/>
          <w:bCs w:val="0"/>
        </w:rPr>
        <w:t xml:space="preserve">. </w:t>
      </w:r>
    </w:p>
    <w:p w14:paraId="77565084" w14:textId="5A583C20" w:rsidR="00B52FF6" w:rsidRPr="00071789" w:rsidRDefault="00986F9D" w:rsidP="00986F9D">
      <w:pPr>
        <w:ind w:right="39"/>
        <w:jc w:val="both"/>
        <w:rPr>
          <w:rStyle w:val="Strong"/>
          <w:rFonts w:ascii="Arial" w:hAnsi="Arial" w:cs="Arial"/>
          <w:b w:val="0"/>
          <w:bCs w:val="0"/>
        </w:rPr>
      </w:pPr>
      <w:r w:rsidRPr="00986F9D">
        <w:rPr>
          <w:rStyle w:val="Strong"/>
          <w:rFonts w:ascii="Arial" w:hAnsi="Arial" w:cs="Arial"/>
          <w:b w:val="0"/>
          <w:bCs w:val="0"/>
        </w:rPr>
        <w:t>Based on Article 1330 of the Civil Code (</w:t>
      </w:r>
      <w:proofErr w:type="spellStart"/>
      <w:r w:rsidRPr="00986F9D">
        <w:rPr>
          <w:rStyle w:val="Strong"/>
          <w:rFonts w:ascii="Arial" w:hAnsi="Arial" w:cs="Arial"/>
          <w:b w:val="0"/>
          <w:bCs w:val="0"/>
        </w:rPr>
        <w:t>KUHPerdata</w:t>
      </w:r>
      <w:proofErr w:type="spellEnd"/>
      <w:r w:rsidRPr="00986F9D">
        <w:rPr>
          <w:rStyle w:val="Strong"/>
          <w:rFonts w:ascii="Arial" w:hAnsi="Arial" w:cs="Arial"/>
          <w:b w:val="0"/>
          <w:bCs w:val="0"/>
        </w:rPr>
        <w:t>), “The following are not competent to enter into an agreement: minors, persons under guardianship, and married women.” The legal consequences of online sales transactions by minors may include: The Transaction is Void by Law. Article 1331 of the Civil Code states that a valid agreement requires the parties to perform what has been agreed upon. Since minors are not legally competent, online sales agreements made by minors are invalid and do not impose any obligations on the parties involved. Therefore, both the seller and the buyer have the right to cancel the transaction</w:t>
      </w:r>
      <w:r w:rsidR="00B52FF6" w:rsidRPr="00071789">
        <w:rPr>
          <w:rStyle w:val="Strong"/>
          <w:rFonts w:ascii="Arial" w:hAnsi="Arial" w:cs="Arial"/>
          <w:b w:val="0"/>
          <w:bCs w:val="0"/>
        </w:rPr>
        <w:t xml:space="preserve">. </w:t>
      </w:r>
    </w:p>
    <w:p w14:paraId="501C1D94" w14:textId="03767033" w:rsidR="00B52FF6" w:rsidRPr="00071789" w:rsidRDefault="00986F9D" w:rsidP="00986F9D">
      <w:pPr>
        <w:ind w:right="39"/>
        <w:jc w:val="both"/>
        <w:rPr>
          <w:rStyle w:val="hgkelc"/>
          <w:rFonts w:ascii="Arial" w:hAnsi="Arial" w:cs="Arial"/>
        </w:rPr>
      </w:pPr>
      <w:r w:rsidRPr="00986F9D">
        <w:rPr>
          <w:rFonts w:ascii="Arial" w:hAnsi="Arial" w:cs="Arial"/>
        </w:rPr>
        <w:t xml:space="preserve">Parental/Guardian Responsibility, Article 1365 of the Civil Code states that “any act that violates the law and causes harm to another person obligates the person who caused the harm to compensate for the harm.” Parents or guardians of a child are liable for the child's legal actions if one party suffers loss in a </w:t>
      </w:r>
      <w:r w:rsidRPr="00986F9D">
        <w:rPr>
          <w:rFonts w:ascii="Arial" w:hAnsi="Arial" w:cs="Arial"/>
        </w:rPr>
        <w:lastRenderedPageBreak/>
        <w:t>transaction carried out by the child. This is explained in Article 1367 of the Civil Code, which states that “a person is not only liable for losses caused by their own actions, but also for the actions of persons under their care or for items under their supervision</w:t>
      </w:r>
      <w:r w:rsidR="00B52FF6" w:rsidRPr="00071789">
        <w:rPr>
          <w:rStyle w:val="hgkelc"/>
          <w:rFonts w:ascii="Arial" w:hAnsi="Arial" w:cs="Arial"/>
        </w:rPr>
        <w:t>”.</w:t>
      </w:r>
    </w:p>
    <w:p w14:paraId="35AAD174" w14:textId="71B54166" w:rsidR="00B52FF6" w:rsidRPr="00071789" w:rsidRDefault="00986F9D" w:rsidP="00986F9D">
      <w:pPr>
        <w:jc w:val="both"/>
        <w:rPr>
          <w:rFonts w:ascii="Arial" w:hAnsi="Arial" w:cs="Arial"/>
        </w:rPr>
      </w:pPr>
      <w:r w:rsidRPr="00986F9D">
        <w:rPr>
          <w:rFonts w:ascii="Arial" w:hAnsi="Arial" w:cs="Arial"/>
        </w:rPr>
        <w:t>In Islamic law, online sales agreements made by children who have not yet reached puberty are invalid because they are not considered to have the legal capacity to perform unlawful acts, such as purchasing goods online (</w:t>
      </w:r>
      <w:proofErr w:type="spellStart"/>
      <w:r w:rsidRPr="00986F9D">
        <w:rPr>
          <w:rFonts w:ascii="Arial" w:hAnsi="Arial" w:cs="Arial"/>
        </w:rPr>
        <w:t>Raphaellee</w:t>
      </w:r>
      <w:proofErr w:type="spellEnd"/>
      <w:r w:rsidRPr="00986F9D">
        <w:rPr>
          <w:rFonts w:ascii="Arial" w:hAnsi="Arial" w:cs="Arial"/>
        </w:rPr>
        <w:t xml:space="preserve"> Peters Putra Usman &amp; Moody </w:t>
      </w:r>
      <w:proofErr w:type="spellStart"/>
      <w:r w:rsidRPr="00986F9D">
        <w:rPr>
          <w:rFonts w:ascii="Arial" w:hAnsi="Arial" w:cs="Arial"/>
        </w:rPr>
        <w:t>Rizqy</w:t>
      </w:r>
      <w:proofErr w:type="spellEnd"/>
      <w:r w:rsidRPr="00986F9D">
        <w:rPr>
          <w:rFonts w:ascii="Arial" w:hAnsi="Arial" w:cs="Arial"/>
        </w:rPr>
        <w:t xml:space="preserve"> </w:t>
      </w:r>
      <w:proofErr w:type="spellStart"/>
      <w:r w:rsidRPr="00986F9D">
        <w:rPr>
          <w:rFonts w:ascii="Arial" w:hAnsi="Arial" w:cs="Arial"/>
        </w:rPr>
        <w:t>Syailendra</w:t>
      </w:r>
      <w:proofErr w:type="spellEnd"/>
      <w:r w:rsidRPr="00986F9D">
        <w:rPr>
          <w:rFonts w:ascii="Arial" w:hAnsi="Arial" w:cs="Arial"/>
        </w:rPr>
        <w:t xml:space="preserve"> Putra, 2024). However, there are some exceptions: children who are </w:t>
      </w:r>
      <w:proofErr w:type="spellStart"/>
      <w:r w:rsidRPr="00986F9D">
        <w:rPr>
          <w:rFonts w:ascii="Arial" w:hAnsi="Arial" w:cs="Arial"/>
        </w:rPr>
        <w:t>mumayyiz</w:t>
      </w:r>
      <w:proofErr w:type="spellEnd"/>
      <w:r w:rsidRPr="00986F9D">
        <w:rPr>
          <w:rFonts w:ascii="Arial" w:hAnsi="Arial" w:cs="Arial"/>
        </w:rPr>
        <w:t xml:space="preserve"> (able to distinguish between right and wrong) may engage in online transactions for items of low value, such as snacks, toys, or clothing. Any losses arising from online transactions involving children are the responsibility of the parents. Parents may also impose sanctions on their children who sell goods online, such as reprimands, advice, or other minor punishments</w:t>
      </w:r>
      <w:r w:rsidR="00B52FF6" w:rsidRPr="00071789">
        <w:rPr>
          <w:rFonts w:ascii="Arial" w:hAnsi="Arial" w:cs="Arial"/>
        </w:rPr>
        <w:t>.</w:t>
      </w:r>
    </w:p>
    <w:bookmarkEnd w:id="7"/>
    <w:p w14:paraId="1AEF2784" w14:textId="77777777" w:rsidR="001921FB" w:rsidRPr="00071789" w:rsidRDefault="001921FB" w:rsidP="00071789">
      <w:pPr>
        <w:ind w:left="709" w:right="40"/>
        <w:jc w:val="both"/>
        <w:rPr>
          <w:rFonts w:ascii="Arial" w:hAnsi="Arial" w:cs="Arial"/>
          <w:b/>
        </w:rPr>
      </w:pPr>
    </w:p>
    <w:p w14:paraId="7A07F5E5" w14:textId="1191CCEA" w:rsidR="00E619D6" w:rsidRPr="00071789" w:rsidRDefault="00E619D6" w:rsidP="00071789">
      <w:pPr>
        <w:numPr>
          <w:ilvl w:val="0"/>
          <w:numId w:val="15"/>
        </w:numPr>
        <w:tabs>
          <w:tab w:val="left" w:pos="426"/>
        </w:tabs>
        <w:ind w:left="426" w:hanging="426"/>
        <w:rPr>
          <w:rFonts w:ascii="Arial" w:hAnsi="Arial" w:cs="Arial"/>
          <w:b/>
          <w:bCs/>
          <w:lang w:val="id-ID"/>
        </w:rPr>
      </w:pPr>
      <w:r w:rsidRPr="00071789">
        <w:rPr>
          <w:rFonts w:ascii="Arial" w:hAnsi="Arial" w:cs="Arial"/>
          <w:b/>
          <w:bCs/>
          <w:lang w:val="id-ID"/>
        </w:rPr>
        <w:t>CONCLUSION</w:t>
      </w:r>
    </w:p>
    <w:p w14:paraId="6A6ECB41" w14:textId="1FE78321" w:rsidR="00E40DF0" w:rsidRPr="00071789" w:rsidRDefault="00986F9D" w:rsidP="00986F9D">
      <w:pPr>
        <w:pStyle w:val="BodyText"/>
        <w:spacing w:after="0"/>
        <w:jc w:val="both"/>
        <w:rPr>
          <w:rFonts w:ascii="Arial" w:hAnsi="Arial" w:cs="Arial"/>
          <w:lang w:eastAsia="en-US"/>
        </w:rPr>
      </w:pPr>
      <w:r w:rsidRPr="00986F9D">
        <w:rPr>
          <w:rFonts w:ascii="Arial" w:hAnsi="Arial" w:cs="Arial"/>
          <w:lang w:eastAsia="en-US"/>
        </w:rPr>
        <w:t>Based on the results of the research and discussion, it can be concluded that the validity of online sales transactions conducted by children under Islamic law is invalid because they do not fulfill one of the pillars and requirements of sales, namely the subject of the contract. The subject of the contract must be a child who has reached the age of majority or adulthood. However, there is an exception where online transactions conducted by a child may be valid. If the child is mumayyiz (able to distinguish between good and evil) with the consent of the parents or guardian, and the item being bought or sold is of light value, such as stationery, snacks, or toys. Online transactions conducted by a child who is not legally competent or has not reached the age of majority under civil law and Islamic law are invalid and lack legal standing, thereby giving rise to legal consequences. The consequences under civil law are that the online transaction is null and void because, according to Article 1331 of the Civil Code, a valid agreement must be made by a legally competent person, and under Article 1367 of the Civil Code, if the transaction causes harm to one party, the parents or guardian may be liable to compensate for the loss. Under Islamic law, if a child engages in online transactions without the consent of their parents or guardians, the parents or guardians may void the transaction. Additionally, the parents or guardians may provide guidance, reprimands, or other minor punishments</w:t>
      </w:r>
      <w:r w:rsidR="00B52FF6" w:rsidRPr="00071789">
        <w:rPr>
          <w:rFonts w:ascii="Arial" w:hAnsi="Arial" w:cs="Arial"/>
        </w:rPr>
        <w:t>.</w:t>
      </w:r>
      <w:bookmarkStart w:id="8" w:name="_Hlk78354977"/>
    </w:p>
    <w:p w14:paraId="23173E16" w14:textId="77777777" w:rsidR="00E40DF0" w:rsidRDefault="00E40DF0" w:rsidP="00E40DF0">
      <w:pPr>
        <w:pStyle w:val="BodyText"/>
        <w:widowControl w:val="0"/>
        <w:autoSpaceDE w:val="0"/>
        <w:autoSpaceDN w:val="0"/>
        <w:spacing w:after="0"/>
        <w:jc w:val="both"/>
        <w:rPr>
          <w:rFonts w:ascii="Arial" w:hAnsi="Arial" w:cs="Arial"/>
          <w:color w:val="000000"/>
        </w:rPr>
      </w:pPr>
    </w:p>
    <w:p w14:paraId="0ECD7ADD" w14:textId="77777777" w:rsidR="006F76F3" w:rsidRDefault="00354A58" w:rsidP="006F76F3">
      <w:pPr>
        <w:widowControl w:val="0"/>
        <w:autoSpaceDE w:val="0"/>
        <w:autoSpaceDN w:val="0"/>
        <w:adjustRightInd w:val="0"/>
        <w:ind w:left="480" w:hanging="480"/>
        <w:rPr>
          <w:rStyle w:val="apple-style-span"/>
          <w:rFonts w:ascii="Arial" w:hAnsi="Arial" w:cs="Arial"/>
          <w:b/>
          <w:color w:val="000000"/>
          <w:lang w:val="pt-BR"/>
        </w:rPr>
      </w:pPr>
      <w:r w:rsidRPr="00E40DF0">
        <w:rPr>
          <w:rStyle w:val="apple-style-span"/>
          <w:rFonts w:ascii="Arial" w:hAnsi="Arial" w:cs="Arial"/>
          <w:b/>
          <w:color w:val="000000"/>
          <w:lang w:val="pt-BR"/>
        </w:rPr>
        <w:t>REFERENCES</w:t>
      </w:r>
      <w:bookmarkEnd w:id="8"/>
    </w:p>
    <w:p w14:paraId="5A1A07FC" w14:textId="7BEF1F90" w:rsidR="006F76F3" w:rsidRPr="00A27C7D" w:rsidRDefault="00B149AD"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color w:val="000000"/>
          <w:sz w:val="18"/>
          <w:szCs w:val="18"/>
        </w:rPr>
        <w:fldChar w:fldCharType="begin" w:fldLock="1"/>
      </w:r>
      <w:r w:rsidRPr="00A27C7D">
        <w:rPr>
          <w:rFonts w:ascii="Arial" w:hAnsi="Arial" w:cs="Arial"/>
          <w:color w:val="000000"/>
          <w:sz w:val="18"/>
          <w:szCs w:val="18"/>
        </w:rPr>
        <w:instrText xml:space="preserve">ADDIN Mendeley Bibliography CSL_BIBLIOGRAPHY </w:instrText>
      </w:r>
      <w:r w:rsidRPr="00A27C7D">
        <w:rPr>
          <w:rFonts w:ascii="Arial" w:hAnsi="Arial" w:cs="Arial"/>
          <w:color w:val="000000"/>
          <w:sz w:val="18"/>
          <w:szCs w:val="18"/>
        </w:rPr>
        <w:fldChar w:fldCharType="separate"/>
      </w:r>
    </w:p>
    <w:p w14:paraId="33B126AA"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Ahmad Mafaid. (2020). Kecakapan Menerima Hak Dan Melakukan Perbuatan Hukum Dalam Tinjauan Ushul Fiqh. </w:t>
      </w:r>
      <w:r w:rsidRPr="00A27C7D">
        <w:rPr>
          <w:rFonts w:ascii="Arial" w:hAnsi="Arial" w:cs="Arial"/>
          <w:i/>
          <w:iCs/>
          <w:noProof/>
          <w:sz w:val="18"/>
          <w:szCs w:val="18"/>
        </w:rPr>
        <w:t>Jurnal Hukum Keluarga Islam</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(1), 88–102. https://doi.org/https://doi.org/10.56874/el-ahli.v1i1.66</w:t>
      </w:r>
    </w:p>
    <w:p w14:paraId="2E25129D"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Ajir, D. (2022). Fikih Perbandingan Tentang Syarat dan Rukun Jual Beli serta Relevansinya dengan Jual Beli Modern Keywords : Buying and Selling , Online , Syariah Economy. </w:t>
      </w:r>
      <w:r w:rsidRPr="00A27C7D">
        <w:rPr>
          <w:rFonts w:ascii="Arial" w:hAnsi="Arial" w:cs="Arial"/>
          <w:i/>
          <w:iCs/>
          <w:noProof/>
          <w:sz w:val="18"/>
          <w:szCs w:val="18"/>
        </w:rPr>
        <w:t>Risalah Iqtisadiyah</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(1), 35–46.</w:t>
      </w:r>
    </w:p>
    <w:p w14:paraId="5F47D61E"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Arifin, M., Hilmy Luayyin, R., &amp; Ayuning Pertiwi, F. (2024). Analisis Keabsahan Jual Beli Perspektif Ekonomi Islam Dan Kuh Perdata. </w:t>
      </w:r>
      <w:r w:rsidRPr="00A27C7D">
        <w:rPr>
          <w:rFonts w:ascii="Arial" w:hAnsi="Arial" w:cs="Arial"/>
          <w:i/>
          <w:iCs/>
          <w:noProof/>
          <w:sz w:val="18"/>
          <w:szCs w:val="18"/>
        </w:rPr>
        <w:t>JSE: Jurnal Sharia Economica</w:t>
      </w:r>
      <w:r w:rsidRPr="00A27C7D">
        <w:rPr>
          <w:rFonts w:ascii="Arial" w:hAnsi="Arial" w:cs="Arial"/>
          <w:noProof/>
          <w:sz w:val="18"/>
          <w:szCs w:val="18"/>
        </w:rPr>
        <w:t xml:space="preserve">, </w:t>
      </w:r>
      <w:r w:rsidRPr="00A27C7D">
        <w:rPr>
          <w:rFonts w:ascii="Arial" w:hAnsi="Arial" w:cs="Arial"/>
          <w:i/>
          <w:iCs/>
          <w:noProof/>
          <w:sz w:val="18"/>
          <w:szCs w:val="18"/>
        </w:rPr>
        <w:t>3</w:t>
      </w:r>
      <w:r w:rsidRPr="00A27C7D">
        <w:rPr>
          <w:rFonts w:ascii="Arial" w:hAnsi="Arial" w:cs="Arial"/>
          <w:noProof/>
          <w:sz w:val="18"/>
          <w:szCs w:val="18"/>
        </w:rPr>
        <w:t>(1), 1–15. https://doi.org/10.46773/jse.v3i1.805</w:t>
      </w:r>
    </w:p>
    <w:p w14:paraId="61EE28DE"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Bela, S., Ja’far, K., Maimun, Zaki, M., &amp; Faisal, L. (2022). Analisis Keabsahan Transaksi Jual Beli Online Yang Dilakukan Anak Dibawah Umur Menurut Hukum Islam Dan Hukum Perdata Indonesia. </w:t>
      </w:r>
      <w:r w:rsidRPr="00A27C7D">
        <w:rPr>
          <w:rFonts w:ascii="Arial" w:hAnsi="Arial" w:cs="Arial"/>
          <w:i/>
          <w:iCs/>
          <w:noProof/>
          <w:sz w:val="18"/>
          <w:szCs w:val="18"/>
        </w:rPr>
        <w:t>Al-Bayan: Jurnal Hukum Dan Ekonomi Islam</w:t>
      </w:r>
      <w:r w:rsidRPr="00A27C7D">
        <w:rPr>
          <w:rFonts w:ascii="Arial" w:hAnsi="Arial" w:cs="Arial"/>
          <w:noProof/>
          <w:sz w:val="18"/>
          <w:szCs w:val="18"/>
        </w:rPr>
        <w:t xml:space="preserve">, </w:t>
      </w:r>
      <w:r w:rsidRPr="00A27C7D">
        <w:rPr>
          <w:rFonts w:ascii="Arial" w:hAnsi="Arial" w:cs="Arial"/>
          <w:i/>
          <w:iCs/>
          <w:noProof/>
          <w:sz w:val="18"/>
          <w:szCs w:val="18"/>
        </w:rPr>
        <w:t>2</w:t>
      </w:r>
      <w:r w:rsidRPr="00A27C7D">
        <w:rPr>
          <w:rFonts w:ascii="Arial" w:hAnsi="Arial" w:cs="Arial"/>
          <w:noProof/>
          <w:sz w:val="18"/>
          <w:szCs w:val="18"/>
        </w:rPr>
        <w:t>(2), 125–135.</w:t>
      </w:r>
    </w:p>
    <w:p w14:paraId="08A2C30A"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Cut Ali, I. (2021). HUKUM, HAKIM, MAHKUM FIH DAN MAHKUM ALAIH (Studi Pemahaman Dasar Ilmu Hukum Islam). </w:t>
      </w:r>
      <w:r w:rsidRPr="00A27C7D">
        <w:rPr>
          <w:rFonts w:ascii="Arial" w:hAnsi="Arial" w:cs="Arial"/>
          <w:i/>
          <w:iCs/>
          <w:noProof/>
          <w:sz w:val="18"/>
          <w:szCs w:val="18"/>
        </w:rPr>
        <w:t>Al-Madaris Jurnal Pendidikan Dan Studi Keislaman</w:t>
      </w:r>
      <w:r w:rsidRPr="00A27C7D">
        <w:rPr>
          <w:rFonts w:ascii="Arial" w:hAnsi="Arial" w:cs="Arial"/>
          <w:noProof/>
          <w:sz w:val="18"/>
          <w:szCs w:val="18"/>
        </w:rPr>
        <w:t xml:space="preserve">, </w:t>
      </w:r>
      <w:r w:rsidRPr="00A27C7D">
        <w:rPr>
          <w:rFonts w:ascii="Arial" w:hAnsi="Arial" w:cs="Arial"/>
          <w:i/>
          <w:iCs/>
          <w:noProof/>
          <w:sz w:val="18"/>
          <w:szCs w:val="18"/>
        </w:rPr>
        <w:t>2</w:t>
      </w:r>
      <w:r w:rsidRPr="00A27C7D">
        <w:rPr>
          <w:rFonts w:ascii="Arial" w:hAnsi="Arial" w:cs="Arial"/>
          <w:noProof/>
          <w:sz w:val="18"/>
          <w:szCs w:val="18"/>
        </w:rPr>
        <w:t>(1), 75–88. https://doi.org/10.47887/amd.v2i1.13</w:t>
      </w:r>
    </w:p>
    <w:p w14:paraId="672109CF"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Isroqunnajah, Hawabi, A. I., &amp; Khoirot, U. (2024). Legal Capacity and Legal Authority of Adult Age in Indonesia: Medical, Psychological and Islamic Law Perspectives. </w:t>
      </w:r>
      <w:r w:rsidRPr="00A27C7D">
        <w:rPr>
          <w:rFonts w:ascii="Arial" w:hAnsi="Arial" w:cs="Arial"/>
          <w:i/>
          <w:iCs/>
          <w:noProof/>
          <w:sz w:val="18"/>
          <w:szCs w:val="18"/>
        </w:rPr>
        <w:t>Samarah</w:t>
      </w:r>
      <w:r w:rsidRPr="00A27C7D">
        <w:rPr>
          <w:rFonts w:ascii="Arial" w:hAnsi="Arial" w:cs="Arial"/>
          <w:noProof/>
          <w:sz w:val="18"/>
          <w:szCs w:val="18"/>
        </w:rPr>
        <w:t xml:space="preserve">, </w:t>
      </w:r>
      <w:r w:rsidRPr="00A27C7D">
        <w:rPr>
          <w:rFonts w:ascii="Arial" w:hAnsi="Arial" w:cs="Arial"/>
          <w:i/>
          <w:iCs/>
          <w:noProof/>
          <w:sz w:val="18"/>
          <w:szCs w:val="18"/>
        </w:rPr>
        <w:t>8</w:t>
      </w:r>
      <w:r w:rsidRPr="00A27C7D">
        <w:rPr>
          <w:rFonts w:ascii="Arial" w:hAnsi="Arial" w:cs="Arial"/>
          <w:noProof/>
          <w:sz w:val="18"/>
          <w:szCs w:val="18"/>
        </w:rPr>
        <w:t>(1), 105–125. https://doi.org/10.22373/sjhk.v8i1.19834</w:t>
      </w:r>
    </w:p>
    <w:p w14:paraId="7982265C"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Jauhari, I., Thaib, Z. B. hasballah, Jafar, M., Bahar, T. A., Jamil, M., Yusuf, M., &amp; Dahlan, Z. (2023). The Qur’an and Islamic Legal Perspectives on Child Protection. </w:t>
      </w:r>
      <w:r w:rsidRPr="00A27C7D">
        <w:rPr>
          <w:rFonts w:ascii="Arial" w:hAnsi="Arial" w:cs="Arial"/>
          <w:i/>
          <w:iCs/>
          <w:noProof/>
          <w:sz w:val="18"/>
          <w:szCs w:val="18"/>
        </w:rPr>
        <w:t>Pharos Journal of Theology</w:t>
      </w:r>
      <w:r w:rsidRPr="00A27C7D">
        <w:rPr>
          <w:rFonts w:ascii="Arial" w:hAnsi="Arial" w:cs="Arial"/>
          <w:noProof/>
          <w:sz w:val="18"/>
          <w:szCs w:val="18"/>
        </w:rPr>
        <w:t xml:space="preserve">, </w:t>
      </w:r>
      <w:r w:rsidRPr="00A27C7D">
        <w:rPr>
          <w:rFonts w:ascii="Arial" w:hAnsi="Arial" w:cs="Arial"/>
          <w:i/>
          <w:iCs/>
          <w:noProof/>
          <w:sz w:val="18"/>
          <w:szCs w:val="18"/>
        </w:rPr>
        <w:t>104</w:t>
      </w:r>
      <w:r w:rsidRPr="00A27C7D">
        <w:rPr>
          <w:rFonts w:ascii="Arial" w:hAnsi="Arial" w:cs="Arial"/>
          <w:noProof/>
          <w:sz w:val="18"/>
          <w:szCs w:val="18"/>
        </w:rPr>
        <w:t>(4), 1–13. https://doi.org/10.46222/pharosjot.104.417</w:t>
      </w:r>
    </w:p>
    <w:p w14:paraId="1106814C"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Muadim, J. A., Suryamizon, A. L., &amp; Nazar, J. (2023). Dampak Hukum Bagi Pengguna Layanan Jual Beli Online Menurut Hukum Positif Dan Padangan Hukum Islam. </w:t>
      </w:r>
      <w:r w:rsidRPr="00A27C7D">
        <w:rPr>
          <w:rFonts w:ascii="Arial" w:hAnsi="Arial" w:cs="Arial"/>
          <w:i/>
          <w:iCs/>
          <w:noProof/>
          <w:sz w:val="18"/>
          <w:szCs w:val="18"/>
        </w:rPr>
        <w:t>Sakato Law Journal</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(1), 218–225. https://jurnal.umsb.ac.id/index.php/SLJ/article/view/4110</w:t>
      </w:r>
    </w:p>
    <w:p w14:paraId="419B0D69"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Muhtadi, M. A. (2023). Literature Review: The Effect of Online Shops on Consumer Shopping Satisfaction. </w:t>
      </w:r>
      <w:r w:rsidRPr="00A27C7D">
        <w:rPr>
          <w:rFonts w:ascii="Arial" w:hAnsi="Arial" w:cs="Arial"/>
          <w:i/>
          <w:iCs/>
          <w:noProof/>
          <w:sz w:val="18"/>
          <w:szCs w:val="18"/>
        </w:rPr>
        <w:t>The Eastasouth Management and Business</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(02), 31–36. https://doi.org/10.58812/esmb.v1i02.48</w:t>
      </w:r>
    </w:p>
    <w:p w14:paraId="745E55F3"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Nasir Hassan Wani. (2023). Peace In Islam In The Light Of The Holy Quran And Hadith. </w:t>
      </w:r>
      <w:r w:rsidRPr="00A27C7D">
        <w:rPr>
          <w:rFonts w:ascii="Arial" w:hAnsi="Arial" w:cs="Arial"/>
          <w:i/>
          <w:iCs/>
          <w:noProof/>
          <w:sz w:val="18"/>
          <w:szCs w:val="18"/>
        </w:rPr>
        <w:t>LECTURES: Journal of Islamic and Education Studies</w:t>
      </w:r>
      <w:r w:rsidRPr="00A27C7D">
        <w:rPr>
          <w:rFonts w:ascii="Arial" w:hAnsi="Arial" w:cs="Arial"/>
          <w:noProof/>
          <w:sz w:val="18"/>
          <w:szCs w:val="18"/>
        </w:rPr>
        <w:t xml:space="preserve">, </w:t>
      </w:r>
      <w:r w:rsidRPr="00A27C7D">
        <w:rPr>
          <w:rFonts w:ascii="Arial" w:hAnsi="Arial" w:cs="Arial"/>
          <w:i/>
          <w:iCs/>
          <w:noProof/>
          <w:sz w:val="18"/>
          <w:szCs w:val="18"/>
        </w:rPr>
        <w:t>2</w:t>
      </w:r>
      <w:r w:rsidRPr="00A27C7D">
        <w:rPr>
          <w:rFonts w:ascii="Arial" w:hAnsi="Arial" w:cs="Arial"/>
          <w:noProof/>
          <w:sz w:val="18"/>
          <w:szCs w:val="18"/>
        </w:rPr>
        <w:t>(3), 162–170. https://doi.org/10.58355/lectures.v2i3.67</w:t>
      </w:r>
    </w:p>
    <w:p w14:paraId="62143F31"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Raphaellee Peters Putra Usman, &amp; Moody Rizqy Syailendra Putra. (2024). Akibat Hukum dan Pertanggungjawaban Terhadap Perjanjian Elektronik Yang Dibuat Oleh Anak di Bawah Umur. </w:t>
      </w:r>
      <w:r w:rsidRPr="00A27C7D">
        <w:rPr>
          <w:rFonts w:ascii="Arial" w:hAnsi="Arial" w:cs="Arial"/>
          <w:i/>
          <w:iCs/>
          <w:noProof/>
          <w:sz w:val="18"/>
          <w:szCs w:val="18"/>
        </w:rPr>
        <w:t>Ranah Research : Journal of Multidisciplinary Research and Development</w:t>
      </w:r>
      <w:r w:rsidRPr="00A27C7D">
        <w:rPr>
          <w:rFonts w:ascii="Arial" w:hAnsi="Arial" w:cs="Arial"/>
          <w:noProof/>
          <w:sz w:val="18"/>
          <w:szCs w:val="18"/>
        </w:rPr>
        <w:t xml:space="preserve">, </w:t>
      </w:r>
      <w:r w:rsidRPr="00A27C7D">
        <w:rPr>
          <w:rFonts w:ascii="Arial" w:hAnsi="Arial" w:cs="Arial"/>
          <w:i/>
          <w:iCs/>
          <w:noProof/>
          <w:sz w:val="18"/>
          <w:szCs w:val="18"/>
        </w:rPr>
        <w:t>6</w:t>
      </w:r>
      <w:r w:rsidRPr="00A27C7D">
        <w:rPr>
          <w:rFonts w:ascii="Arial" w:hAnsi="Arial" w:cs="Arial"/>
          <w:noProof/>
          <w:sz w:val="18"/>
          <w:szCs w:val="18"/>
        </w:rPr>
        <w:t>(4), 1014–1021. https://doi.org/10.38035/rrj.v6i4.960</w:t>
      </w:r>
    </w:p>
    <w:p w14:paraId="3DC914A4"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Rifa’i, I. jalaludin, Purwoto, A., Ramadhani, M., Muksalmina, Rusydi,  muhammad taufik, Harahap,  nasruddin khalil, &amp; Mardiyanto, I. (2023). </w:t>
      </w:r>
      <w:r w:rsidRPr="00A27C7D">
        <w:rPr>
          <w:rFonts w:ascii="Arial" w:hAnsi="Arial" w:cs="Arial"/>
          <w:i/>
          <w:iCs/>
          <w:noProof/>
          <w:sz w:val="18"/>
          <w:szCs w:val="18"/>
        </w:rPr>
        <w:t>Metodologi Penelitian Hukum</w:t>
      </w:r>
      <w:r w:rsidRPr="00A27C7D">
        <w:rPr>
          <w:rFonts w:ascii="Arial" w:hAnsi="Arial" w:cs="Arial"/>
          <w:noProof/>
          <w:sz w:val="18"/>
          <w:szCs w:val="18"/>
        </w:rPr>
        <w:t xml:space="preserve"> (Issue May).</w:t>
      </w:r>
    </w:p>
    <w:p w14:paraId="6629A93F"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Saputri, N. U., Fasa, M. I., &amp; Suharto, S. (2021). Persepsi Akad Jual Beli (Al-Bai’) Di Kalanan Generasi Milenial Sesuai Dengan Syariat Etika Bisnis Islam. </w:t>
      </w:r>
      <w:r w:rsidRPr="00A27C7D">
        <w:rPr>
          <w:rFonts w:ascii="Arial" w:hAnsi="Arial" w:cs="Arial"/>
          <w:i/>
          <w:iCs/>
          <w:noProof/>
          <w:sz w:val="18"/>
          <w:szCs w:val="18"/>
        </w:rPr>
        <w:t>Jurnal Ilmiah Pendidikan Dan Keislaman</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(3), 174–179. https://doi.org/10.55883/jipkis.v1i3.19</w:t>
      </w:r>
    </w:p>
    <w:p w14:paraId="674ED5A3"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Shifa, M. (2021). Analysis of Buying and Selling Practices. </w:t>
      </w:r>
      <w:r w:rsidRPr="00A27C7D">
        <w:rPr>
          <w:rFonts w:ascii="Arial" w:hAnsi="Arial" w:cs="Arial"/>
          <w:i/>
          <w:iCs/>
          <w:noProof/>
          <w:sz w:val="18"/>
          <w:szCs w:val="18"/>
        </w:rPr>
        <w:t xml:space="preserve">Journal Research of Social, Science, Economics, and </w:t>
      </w:r>
      <w:r w:rsidRPr="00A27C7D">
        <w:rPr>
          <w:rFonts w:ascii="Arial" w:hAnsi="Arial" w:cs="Arial"/>
          <w:i/>
          <w:iCs/>
          <w:noProof/>
          <w:sz w:val="18"/>
          <w:szCs w:val="18"/>
        </w:rPr>
        <w:lastRenderedPageBreak/>
        <w:t>Management</w:t>
      </w:r>
      <w:r w:rsidRPr="00A27C7D">
        <w:rPr>
          <w:rFonts w:ascii="Arial" w:hAnsi="Arial" w:cs="Arial"/>
          <w:noProof/>
          <w:sz w:val="18"/>
          <w:szCs w:val="18"/>
        </w:rPr>
        <w:t xml:space="preserve">, </w:t>
      </w:r>
      <w:r w:rsidRPr="00A27C7D">
        <w:rPr>
          <w:rFonts w:ascii="Arial" w:hAnsi="Arial" w:cs="Arial"/>
          <w:i/>
          <w:iCs/>
          <w:noProof/>
          <w:sz w:val="18"/>
          <w:szCs w:val="18"/>
        </w:rPr>
        <w:t>1</w:t>
      </w:r>
      <w:r w:rsidRPr="00A27C7D">
        <w:rPr>
          <w:rFonts w:ascii="Arial" w:hAnsi="Arial" w:cs="Arial"/>
          <w:noProof/>
          <w:sz w:val="18"/>
          <w:szCs w:val="18"/>
        </w:rPr>
        <w:t>(5), 467–476. https://doi.org/https://doi.org/10.59141/jrssem.v1i5.42</w:t>
      </w:r>
    </w:p>
    <w:p w14:paraId="5666C2CD" w14:textId="77777777" w:rsidR="006F76F3" w:rsidRPr="00A27C7D" w:rsidRDefault="006F76F3" w:rsidP="00B06A05">
      <w:pPr>
        <w:widowControl w:val="0"/>
        <w:autoSpaceDE w:val="0"/>
        <w:autoSpaceDN w:val="0"/>
        <w:adjustRightInd w:val="0"/>
        <w:ind w:left="480" w:hanging="480"/>
        <w:jc w:val="both"/>
        <w:rPr>
          <w:rFonts w:ascii="Arial" w:hAnsi="Arial" w:cs="Arial"/>
          <w:noProof/>
          <w:sz w:val="18"/>
          <w:szCs w:val="18"/>
        </w:rPr>
      </w:pPr>
      <w:r w:rsidRPr="00A27C7D">
        <w:rPr>
          <w:rFonts w:ascii="Arial" w:hAnsi="Arial" w:cs="Arial"/>
          <w:noProof/>
          <w:sz w:val="18"/>
          <w:szCs w:val="18"/>
        </w:rPr>
        <w:t xml:space="preserve">Siregar, E. S. (2022). Praktik Jual Beli Baju Bekas Di Kota Tanjung Balai. </w:t>
      </w:r>
      <w:r w:rsidRPr="00A27C7D">
        <w:rPr>
          <w:rFonts w:ascii="Arial" w:hAnsi="Arial" w:cs="Arial"/>
          <w:i/>
          <w:iCs/>
          <w:noProof/>
          <w:sz w:val="18"/>
          <w:szCs w:val="18"/>
        </w:rPr>
        <w:t>Jurnal El-Thawalib</w:t>
      </w:r>
      <w:r w:rsidRPr="00A27C7D">
        <w:rPr>
          <w:rFonts w:ascii="Arial" w:hAnsi="Arial" w:cs="Arial"/>
          <w:noProof/>
          <w:sz w:val="18"/>
          <w:szCs w:val="18"/>
        </w:rPr>
        <w:t xml:space="preserve">, </w:t>
      </w:r>
      <w:r w:rsidRPr="00A27C7D">
        <w:rPr>
          <w:rFonts w:ascii="Arial" w:hAnsi="Arial" w:cs="Arial"/>
          <w:i/>
          <w:iCs/>
          <w:noProof/>
          <w:sz w:val="18"/>
          <w:szCs w:val="18"/>
        </w:rPr>
        <w:t>3</w:t>
      </w:r>
      <w:r w:rsidRPr="00A27C7D">
        <w:rPr>
          <w:rFonts w:ascii="Arial" w:hAnsi="Arial" w:cs="Arial"/>
          <w:noProof/>
          <w:sz w:val="18"/>
          <w:szCs w:val="18"/>
        </w:rPr>
        <w:t>(3), 536–549. https://doi.org/10.24952/el-thawalib.v3i3.5650</w:t>
      </w:r>
    </w:p>
    <w:p w14:paraId="7D0EF40C" w14:textId="1004F671" w:rsidR="00E619D6" w:rsidRPr="00B06A05" w:rsidRDefault="00B149AD" w:rsidP="00B06A05">
      <w:pPr>
        <w:widowControl w:val="0"/>
        <w:autoSpaceDE w:val="0"/>
        <w:autoSpaceDN w:val="0"/>
        <w:adjustRightInd w:val="0"/>
        <w:ind w:left="426" w:hanging="426"/>
        <w:jc w:val="both"/>
        <w:rPr>
          <w:rFonts w:ascii="Arial" w:hAnsi="Arial" w:cs="Arial"/>
          <w:color w:val="000000"/>
        </w:rPr>
      </w:pPr>
      <w:r w:rsidRPr="00A27C7D">
        <w:rPr>
          <w:rFonts w:ascii="Arial" w:hAnsi="Arial" w:cs="Arial"/>
          <w:color w:val="000000"/>
          <w:sz w:val="18"/>
          <w:szCs w:val="18"/>
        </w:rPr>
        <w:fldChar w:fldCharType="end"/>
      </w:r>
    </w:p>
    <w:sectPr w:rsidR="00E619D6" w:rsidRPr="00B06A05" w:rsidSect="007B2626">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1134" w:left="1418" w:header="1134" w:footer="1134" w:gutter="0"/>
      <w:pgNumType w:start="1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118D" w14:textId="77777777" w:rsidR="00B61020" w:rsidRDefault="00B61020">
      <w:r>
        <w:separator/>
      </w:r>
    </w:p>
  </w:endnote>
  <w:endnote w:type="continuationSeparator" w:id="0">
    <w:p w14:paraId="64A20C1A" w14:textId="77777777" w:rsidR="00B61020" w:rsidRDefault="00B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3825EC14"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5168"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56E9"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031F79" w:rsidRPr="00031F79">
      <w:t xml:space="preserve"> </w:t>
    </w:r>
    <w:r w:rsidR="007B2626" w:rsidRPr="00A16CBE">
      <w:rPr>
        <w:noProof/>
      </w:rPr>
      <w:t>Requisitoire : Law Enforcement</w:t>
    </w:r>
    <w:r w:rsidR="007B2626" w:rsidRPr="00E619D6">
      <w:t xml:space="preserve">, Vol. </w:t>
    </w:r>
    <w:r w:rsidR="007B2626">
      <w:t>17</w:t>
    </w:r>
    <w:r w:rsidR="007B2626" w:rsidRPr="00E619D6">
      <w:t>, No.</w:t>
    </w:r>
    <w:r w:rsidR="007B2626">
      <w:t xml:space="preserve"> 1</w:t>
    </w:r>
    <w:r w:rsidR="007B2626" w:rsidRPr="00E619D6">
      <w:t>,</w:t>
    </w:r>
    <w:r w:rsidR="007B2626">
      <w:t xml:space="preserve"> Juli</w:t>
    </w:r>
    <w:r w:rsidR="007B2626" w:rsidRPr="00735BBC">
      <w:t xml:space="preserve"> </w:t>
    </w:r>
    <w:r w:rsidR="007B2626">
      <w:t>2025</w:t>
    </w:r>
    <w:r w:rsidR="007B2626" w:rsidRPr="00735BBC">
      <w:t xml:space="preserve">: </w:t>
    </w:r>
    <w:r w:rsidR="007B2626">
      <w:t>1</w:t>
    </w:r>
    <w:r w:rsidR="007B2626">
      <w:t>32</w:t>
    </w:r>
    <w:r w:rsidR="007B2626" w:rsidRPr="00735BBC">
      <w:t>-</w:t>
    </w:r>
    <w:r w:rsidR="007B2626">
      <w:t>13</w:t>
    </w:r>
    <w:r w:rsidR="007B2626">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7E7D7A66" w:rsidR="00097958" w:rsidRPr="00C07BEF" w:rsidRDefault="00DA3BBA" w:rsidP="00DA3BBA">
    <w:pPr>
      <w:pStyle w:val="Footer"/>
      <w:jc w:val="right"/>
      <w:rPr>
        <w:i/>
      </w:rPr>
    </w:pPr>
    <w:r>
      <w:rPr>
        <w:noProof/>
      </w:rPr>
      <mc:AlternateContent>
        <mc:Choice Requires="wps">
          <w:drawing>
            <wp:anchor distT="0" distB="0" distL="114300" distR="114300" simplePos="0" relativeHeight="251657216"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E7B1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7B2626" w:rsidRPr="007B2626">
      <w:t xml:space="preserve"> </w:t>
    </w:r>
    <w:r w:rsidR="007B2626" w:rsidRPr="007B2626">
      <w:rPr>
        <w:noProof/>
      </w:rPr>
      <w:t>Problems in the application of islamic law regarding children who engage in online trading</w:t>
    </w:r>
    <w:r w:rsidR="007B2626">
      <w:rPr>
        <w:noProof/>
      </w:rPr>
      <w:t xml:space="preserve"> </w:t>
    </w:r>
    <w:r w:rsidR="00EE10AE" w:rsidRPr="00C07BEF">
      <w:rPr>
        <w:i/>
      </w:rPr>
      <w:t>(</w:t>
    </w:r>
    <w:r w:rsidR="007B2626" w:rsidRPr="007B2626">
      <w:rPr>
        <w:i/>
      </w:rPr>
      <w:t>Talitha Rahma</w:t>
    </w:r>
    <w:r w:rsidR="00EE10AE"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68CA3F84"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8240"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694F1"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671DD3" w:rsidRPr="00671DD3">
      <w:rPr>
        <w:i/>
        <w:szCs w:val="18"/>
      </w:rPr>
      <w:t>https://ejournal.cria.or.id/index.php/relae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3C5A" w14:textId="77777777" w:rsidR="00B61020" w:rsidRDefault="00B61020">
      <w:r>
        <w:separator/>
      </w:r>
    </w:p>
  </w:footnote>
  <w:footnote w:type="continuationSeparator" w:id="0">
    <w:p w14:paraId="4C6E3404" w14:textId="77777777" w:rsidR="00B61020" w:rsidRDefault="00B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3D12165C"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120"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69320"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A16CBE" w:rsidRPr="00A16CBE">
      <w:t xml:space="preserve">ISSN: 2085-7233 (Print), </w:t>
    </w:r>
    <w:r w:rsidR="00892F4F" w:rsidRPr="00892F4F">
      <w:t xml:space="preserve">2986-3988 </w:t>
    </w:r>
    <w:r w:rsidR="00A16CBE" w:rsidRPr="00A16CBE">
      <w:t>(Online)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099134A3" w:rsidR="00097958" w:rsidRPr="003D5B84" w:rsidRDefault="00031F79" w:rsidP="00222701">
    <w:pPr>
      <w:pStyle w:val="Header"/>
      <w:tabs>
        <w:tab w:val="clear" w:pos="4320"/>
        <w:tab w:val="clear" w:pos="8640"/>
        <w:tab w:val="left" w:pos="0"/>
        <w:tab w:val="center" w:pos="4301"/>
        <w:tab w:val="left" w:pos="7938"/>
      </w:tabs>
    </w:pPr>
    <w:r>
      <w:rPr>
        <w:noProof/>
      </w:rPr>
      <w:t>CCRIA</w:t>
    </w:r>
    <w:r w:rsidR="00097958" w:rsidRPr="003D5B84">
      <w:t xml:space="preserve"> </w:t>
    </w:r>
    <w:r w:rsidR="00097958" w:rsidRPr="003D5B84">
      <w:tab/>
      <w:t>ISSN:</w:t>
    </w:r>
    <w:r w:rsidR="004F4003">
      <w:t xml:space="preserve"> </w:t>
    </w:r>
    <w:r w:rsidR="00A16CBE" w:rsidRPr="00A16CBE">
      <w:t>2085-7233</w:t>
    </w:r>
    <w:r w:rsidR="00A16CBE">
      <w:t xml:space="preserve"> (Print), </w:t>
    </w:r>
    <w:r w:rsidR="00892F4F" w:rsidRPr="00892F4F">
      <w:t xml:space="preserve">2986-3988 </w:t>
    </w:r>
    <w:r w:rsidR="00A16CBE">
      <w:t>(Online)</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61312"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614EC"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4C6" w14:textId="77777777" w:rsidR="007B2626" w:rsidRPr="003D5B84" w:rsidRDefault="007B2626" w:rsidP="007B2626">
    <w:pPr>
      <w:pStyle w:val="Header"/>
      <w:tabs>
        <w:tab w:val="clear" w:pos="4320"/>
        <w:tab w:val="clear" w:pos="8640"/>
      </w:tabs>
      <w:ind w:right="45"/>
      <w:rPr>
        <w:b/>
      </w:rPr>
    </w:pPr>
    <w:bookmarkStart w:id="9" w:name="_Hlk203994309"/>
    <w:proofErr w:type="spellStart"/>
    <w:r w:rsidRPr="003207A5">
      <w:rPr>
        <w:b/>
      </w:rPr>
      <w:t>Requisitoire</w:t>
    </w:r>
    <w:proofErr w:type="spellEnd"/>
    <w:r w:rsidRPr="003207A5">
      <w:rPr>
        <w:b/>
      </w:rPr>
      <w:t>: Law Enforcement</w:t>
    </w:r>
  </w:p>
  <w:p w14:paraId="60AFBBFC" w14:textId="701F6662" w:rsidR="007B2626" w:rsidRPr="003D5B84" w:rsidRDefault="007B2626" w:rsidP="007B2626">
    <w:pPr>
      <w:pStyle w:val="Header"/>
      <w:tabs>
        <w:tab w:val="clear" w:pos="4320"/>
        <w:tab w:val="clear" w:pos="8640"/>
        <w:tab w:val="left" w:pos="3675"/>
      </w:tabs>
      <w:ind w:right="45"/>
    </w:pPr>
    <w:r w:rsidRPr="003D5B84">
      <w:t>Vol.</w:t>
    </w:r>
    <w:r>
      <w:t xml:space="preserve"> 17</w:t>
    </w:r>
    <w:r w:rsidRPr="003D5B84">
      <w:t>, No.</w:t>
    </w:r>
    <w:r>
      <w:t xml:space="preserve"> 1</w:t>
    </w:r>
    <w:r w:rsidRPr="003D5B84">
      <w:t xml:space="preserve">, </w:t>
    </w:r>
    <w:r>
      <w:t>Juli</w:t>
    </w:r>
    <w:r w:rsidRPr="003D5B84">
      <w:t xml:space="preserve"> </w:t>
    </w:r>
    <w:r>
      <w:t>2025</w:t>
    </w:r>
    <w:r w:rsidRPr="003D5B84">
      <w:t xml:space="preserve">, pp. </w:t>
    </w:r>
    <w:r>
      <w:t>1</w:t>
    </w:r>
    <w:r>
      <w:t>32</w:t>
    </w:r>
    <w:r w:rsidRPr="003D5B84">
      <w:t>~</w:t>
    </w:r>
  </w:p>
  <w:p w14:paraId="2A371CCD" w14:textId="50CBAB41" w:rsidR="00097958" w:rsidRDefault="007B2626" w:rsidP="007B2626">
    <w:pPr>
      <w:pStyle w:val="Header"/>
      <w:tabs>
        <w:tab w:val="clear" w:pos="4320"/>
        <w:tab w:val="clear" w:pos="8640"/>
        <w:tab w:val="left" w:pos="7938"/>
        <w:tab w:val="right" w:pos="8788"/>
      </w:tabs>
      <w:rPr>
        <w:rStyle w:val="PageNumber"/>
      </w:rPr>
    </w:pPr>
    <w:r w:rsidRPr="009C34A6">
      <w:t xml:space="preserve">ISSN: </w:t>
    </w:r>
    <w:r w:rsidRPr="002243D8">
      <w:t>2986-3988 (Online)</w:t>
    </w:r>
    <w:r>
      <w:t xml:space="preserve">, </w:t>
    </w:r>
    <w:r w:rsidRPr="00847569">
      <w:t xml:space="preserve">DOI: </w:t>
    </w:r>
    <w:r w:rsidRPr="00892F4F">
      <w:t>10.59651</w:t>
    </w:r>
    <w:r w:rsidRPr="00031F79">
      <w:t>/</w:t>
    </w:r>
    <w:proofErr w:type="spellStart"/>
    <w:r>
      <w:t>relae</w:t>
    </w:r>
    <w:bookmarkEnd w:id="9"/>
    <w:proofErr w:type="spellEnd"/>
    <w:r w:rsidR="008B060F" w:rsidRPr="003D5B84">
      <w:tab/>
    </w:r>
    <w:r w:rsidR="00C854C1">
      <w:sym w:font="Wingdings" w:char="F072"/>
    </w:r>
    <w:r w:rsidR="00097958" w:rsidRPr="003D5B84">
      <w:t xml:space="preserve">   </w:t>
    </w:r>
    <w:r w:rsidR="00143E0A">
      <w:t xml:space="preserve">      </w:t>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3360"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5AAE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219"/>
    <w:multiLevelType w:val="hybridMultilevel"/>
    <w:tmpl w:val="A31E2D8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570DC8"/>
    <w:multiLevelType w:val="multilevel"/>
    <w:tmpl w:val="1610C972"/>
    <w:lvl w:ilvl="0">
      <w:start w:val="1"/>
      <w:numFmt w:val="decimal"/>
      <w:lvlText w:val="%1."/>
      <w:lvlJc w:val="left"/>
      <w:pPr>
        <w:ind w:left="720" w:hanging="360"/>
      </w:pPr>
    </w:lvl>
    <w:lvl w:ilvl="1">
      <w:start w:val="2"/>
      <w:numFmt w:val="decimal"/>
      <w:isLgl/>
      <w:lvlText w:val="%1.%2."/>
      <w:lvlJc w:val="left"/>
      <w:pPr>
        <w:ind w:left="855" w:hanging="495"/>
      </w:pPr>
      <w:rPr>
        <w:rFonts w:hint="default"/>
        <w:b/>
        <w:color w:val="000000"/>
      </w:rPr>
    </w:lvl>
    <w:lvl w:ilvl="2">
      <w:start w:val="5"/>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2" w15:restartNumberingAfterBreak="0">
    <w:nsid w:val="08F139C2"/>
    <w:multiLevelType w:val="hybridMultilevel"/>
    <w:tmpl w:val="D4E883A8"/>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EF1C18"/>
    <w:multiLevelType w:val="hybridMultilevel"/>
    <w:tmpl w:val="D2EE8070"/>
    <w:lvl w:ilvl="0" w:tplc="B26C5A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4430575"/>
    <w:multiLevelType w:val="hybridMultilevel"/>
    <w:tmpl w:val="2186568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00ED5"/>
    <w:multiLevelType w:val="hybridMultilevel"/>
    <w:tmpl w:val="CE5054B8"/>
    <w:lvl w:ilvl="0" w:tplc="ACEED786">
      <w:start w:val="1"/>
      <w:numFmt w:val="decimal"/>
      <w:lvlText w:val="%1."/>
      <w:lvlJc w:val="center"/>
      <w:pPr>
        <w:ind w:left="2160" w:hanging="360"/>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26087"/>
    <w:multiLevelType w:val="hybridMultilevel"/>
    <w:tmpl w:val="4C082D5C"/>
    <w:lvl w:ilvl="0" w:tplc="AFD86C02">
      <w:start w:val="1"/>
      <w:numFmt w:val="decimal"/>
      <w:lvlText w:val="%1."/>
      <w:lvlJc w:val="center"/>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243538D5"/>
    <w:multiLevelType w:val="hybridMultilevel"/>
    <w:tmpl w:val="DF80CFAC"/>
    <w:lvl w:ilvl="0" w:tplc="7E46EB6C">
      <w:start w:val="1"/>
      <w:numFmt w:val="decimal"/>
      <w:lvlText w:val="%1."/>
      <w:lvlJc w:val="center"/>
      <w:pPr>
        <w:ind w:left="1800" w:hanging="360"/>
      </w:pPr>
      <w:rPr>
        <w:rFonts w:ascii="Times New Roman" w:eastAsiaTheme="minorHAnsi" w:hAnsi="Times New Roman"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FB54E4"/>
    <w:multiLevelType w:val="multilevel"/>
    <w:tmpl w:val="ECE23A64"/>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D123774"/>
    <w:multiLevelType w:val="hybridMultilevel"/>
    <w:tmpl w:val="FE3E3B00"/>
    <w:lvl w:ilvl="0" w:tplc="F5E4B7CE">
      <w:start w:val="1"/>
      <w:numFmt w:val="lowerLetter"/>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D3E6706"/>
    <w:multiLevelType w:val="hybridMultilevel"/>
    <w:tmpl w:val="1A766FA4"/>
    <w:lvl w:ilvl="0" w:tplc="1E3E87F8">
      <w:start w:val="1"/>
      <w:numFmt w:val="lowerLetter"/>
      <w:lvlText w:val="%1."/>
      <w:lvlJc w:val="left"/>
      <w:pPr>
        <w:ind w:left="1427" w:hanging="360"/>
      </w:pPr>
      <w:rPr>
        <w:rFonts w:ascii="Cambria" w:eastAsia="Cambria" w:hAnsi="Cambria" w:cs="Cambria" w:hint="default"/>
        <w:spacing w:val="-7"/>
        <w:w w:val="99"/>
        <w:sz w:val="20"/>
        <w:szCs w:val="20"/>
        <w:lang w:val="id" w:eastAsia="en-US" w:bidi="ar-SA"/>
      </w:r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4" w15:restartNumberingAfterBreak="0">
    <w:nsid w:val="2E1753C3"/>
    <w:multiLevelType w:val="hybridMultilevel"/>
    <w:tmpl w:val="FB84C1AA"/>
    <w:lvl w:ilvl="0" w:tplc="BAEC6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163F7"/>
    <w:multiLevelType w:val="multilevel"/>
    <w:tmpl w:val="86CCAB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9831BA"/>
    <w:multiLevelType w:val="hybridMultilevel"/>
    <w:tmpl w:val="EC2C0294"/>
    <w:lvl w:ilvl="0" w:tplc="3809000F">
      <w:start w:val="1"/>
      <w:numFmt w:val="decimal"/>
      <w:lvlText w:val="%1."/>
      <w:lvlJc w:val="left"/>
      <w:pPr>
        <w:ind w:left="927" w:hanging="360"/>
      </w:p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56B0F"/>
    <w:multiLevelType w:val="hybridMultilevel"/>
    <w:tmpl w:val="367C921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52298D"/>
    <w:multiLevelType w:val="multilevel"/>
    <w:tmpl w:val="177E81D0"/>
    <w:lvl w:ilvl="0">
      <w:start w:val="1"/>
      <w:numFmt w:val="decimal"/>
      <w:lvlText w:val="%1."/>
      <w:lvlJc w:val="left"/>
      <w:pPr>
        <w:ind w:left="786" w:hanging="360"/>
      </w:pPr>
      <w:rPr>
        <w:rFonts w:hint="default"/>
        <w:b w:val="0"/>
        <w:bCs w:val="0"/>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545743CF"/>
    <w:multiLevelType w:val="hybridMultilevel"/>
    <w:tmpl w:val="2E1C5210"/>
    <w:lvl w:ilvl="0" w:tplc="346EB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E7663"/>
    <w:multiLevelType w:val="hybridMultilevel"/>
    <w:tmpl w:val="2062D7E2"/>
    <w:lvl w:ilvl="0" w:tplc="AFD86C0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301009"/>
    <w:multiLevelType w:val="hybridMultilevel"/>
    <w:tmpl w:val="C27235F8"/>
    <w:lvl w:ilvl="0" w:tplc="AFD86C02">
      <w:start w:val="1"/>
      <w:numFmt w:val="decimal"/>
      <w:lvlText w:val="%1."/>
      <w:lvlJc w:val="center"/>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3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A3B17"/>
    <w:multiLevelType w:val="multilevel"/>
    <w:tmpl w:val="60DE8AD4"/>
    <w:lvl w:ilvl="0">
      <w:start w:val="1"/>
      <w:numFmt w:val="decimal"/>
      <w:lvlText w:val="%1."/>
      <w:lvlJc w:val="left"/>
      <w:pPr>
        <w:ind w:left="720" w:hanging="360"/>
      </w:pPr>
      <w:rPr>
        <w:rFonts w:ascii="Arial" w:hAnsi="Arial" w:cs="Arial"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8" w15:restartNumberingAfterBreak="0">
    <w:nsid w:val="6D2D2EA0"/>
    <w:multiLevelType w:val="hybridMultilevel"/>
    <w:tmpl w:val="C0924B9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38E6EC4"/>
    <w:multiLevelType w:val="hybridMultilevel"/>
    <w:tmpl w:val="4C2A7D6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4D271E8"/>
    <w:multiLevelType w:val="hybridMultilevel"/>
    <w:tmpl w:val="D95E88F4"/>
    <w:lvl w:ilvl="0" w:tplc="C1162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74266"/>
    <w:multiLevelType w:val="hybridMultilevel"/>
    <w:tmpl w:val="98A8EA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902DB"/>
    <w:multiLevelType w:val="hybridMultilevel"/>
    <w:tmpl w:val="50F8A7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44899161">
    <w:abstractNumId w:val="33"/>
  </w:num>
  <w:num w:numId="2" w16cid:durableId="357701955">
    <w:abstractNumId w:val="24"/>
  </w:num>
  <w:num w:numId="3" w16cid:durableId="1433087166">
    <w:abstractNumId w:val="37"/>
  </w:num>
  <w:num w:numId="4" w16cid:durableId="402459643">
    <w:abstractNumId w:val="23"/>
  </w:num>
  <w:num w:numId="5" w16cid:durableId="109325932">
    <w:abstractNumId w:val="29"/>
  </w:num>
  <w:num w:numId="6" w16cid:durableId="997617173">
    <w:abstractNumId w:val="34"/>
  </w:num>
  <w:num w:numId="7" w16cid:durableId="1762945002">
    <w:abstractNumId w:val="30"/>
  </w:num>
  <w:num w:numId="8" w16cid:durableId="488523154">
    <w:abstractNumId w:val="25"/>
  </w:num>
  <w:num w:numId="9" w16cid:durableId="1214386295">
    <w:abstractNumId w:val="21"/>
  </w:num>
  <w:num w:numId="10" w16cid:durableId="1067343800">
    <w:abstractNumId w:val="6"/>
  </w:num>
  <w:num w:numId="11" w16cid:durableId="886258258">
    <w:abstractNumId w:val="5"/>
  </w:num>
  <w:num w:numId="12" w16cid:durableId="2037853716">
    <w:abstractNumId w:val="17"/>
  </w:num>
  <w:num w:numId="13" w16cid:durableId="1276135190">
    <w:abstractNumId w:val="7"/>
  </w:num>
  <w:num w:numId="14" w16cid:durableId="468208133">
    <w:abstractNumId w:val="18"/>
  </w:num>
  <w:num w:numId="15" w16cid:durableId="1664158952">
    <w:abstractNumId w:val="36"/>
  </w:num>
  <w:num w:numId="16" w16cid:durableId="1081878217">
    <w:abstractNumId w:val="20"/>
  </w:num>
  <w:num w:numId="17" w16cid:durableId="1727297074">
    <w:abstractNumId w:val="35"/>
  </w:num>
  <w:num w:numId="18" w16cid:durableId="10288746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47423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216655">
    <w:abstractNumId w:val="32"/>
  </w:num>
  <w:num w:numId="21" w16cid:durableId="1605571831">
    <w:abstractNumId w:val="22"/>
  </w:num>
  <w:num w:numId="22" w16cid:durableId="1320842465">
    <w:abstractNumId w:val="41"/>
  </w:num>
  <w:num w:numId="23" w16cid:durableId="170606929">
    <w:abstractNumId w:val="26"/>
  </w:num>
  <w:num w:numId="24" w16cid:durableId="329254464">
    <w:abstractNumId w:val="9"/>
  </w:num>
  <w:num w:numId="25" w16cid:durableId="581765200">
    <w:abstractNumId w:val="3"/>
  </w:num>
  <w:num w:numId="26" w16cid:durableId="481889690">
    <w:abstractNumId w:val="8"/>
  </w:num>
  <w:num w:numId="27" w16cid:durableId="1831209525">
    <w:abstractNumId w:val="10"/>
  </w:num>
  <w:num w:numId="28" w16cid:durableId="627709477">
    <w:abstractNumId w:val="1"/>
  </w:num>
  <w:num w:numId="29" w16cid:durableId="603146259">
    <w:abstractNumId w:val="28"/>
  </w:num>
  <w:num w:numId="30" w16cid:durableId="758798078">
    <w:abstractNumId w:val="31"/>
  </w:num>
  <w:num w:numId="31" w16cid:durableId="936328714">
    <w:abstractNumId w:val="13"/>
  </w:num>
  <w:num w:numId="32" w16cid:durableId="1104690882">
    <w:abstractNumId w:val="40"/>
  </w:num>
  <w:num w:numId="33" w16cid:durableId="355040180">
    <w:abstractNumId w:val="19"/>
  </w:num>
  <w:num w:numId="34" w16cid:durableId="2018726752">
    <w:abstractNumId w:val="0"/>
  </w:num>
  <w:num w:numId="35" w16cid:durableId="1739399015">
    <w:abstractNumId w:val="39"/>
  </w:num>
  <w:num w:numId="36" w16cid:durableId="329603003">
    <w:abstractNumId w:val="4"/>
  </w:num>
  <w:num w:numId="37" w16cid:durableId="225339578">
    <w:abstractNumId w:val="38"/>
  </w:num>
  <w:num w:numId="38" w16cid:durableId="1423525163">
    <w:abstractNumId w:val="2"/>
  </w:num>
  <w:num w:numId="39" w16cid:durableId="1616793719">
    <w:abstractNumId w:val="11"/>
  </w:num>
  <w:num w:numId="40" w16cid:durableId="805781234">
    <w:abstractNumId w:val="15"/>
  </w:num>
  <w:num w:numId="41" w16cid:durableId="936328219">
    <w:abstractNumId w:val="42"/>
  </w:num>
  <w:num w:numId="42" w16cid:durableId="923762061">
    <w:abstractNumId w:val="16"/>
  </w:num>
  <w:num w:numId="43" w16cid:durableId="1809085022">
    <w:abstractNumId w:val="14"/>
  </w:num>
  <w:num w:numId="44" w16cid:durableId="618296698">
    <w:abstractNumId w:val="27"/>
  </w:num>
  <w:num w:numId="45" w16cid:durableId="114701577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1F79"/>
    <w:rsid w:val="00034C84"/>
    <w:rsid w:val="000416A3"/>
    <w:rsid w:val="000437AE"/>
    <w:rsid w:val="000442C6"/>
    <w:rsid w:val="000474E3"/>
    <w:rsid w:val="00047710"/>
    <w:rsid w:val="00050148"/>
    <w:rsid w:val="0005060B"/>
    <w:rsid w:val="000523C5"/>
    <w:rsid w:val="00053FB7"/>
    <w:rsid w:val="000567C9"/>
    <w:rsid w:val="0006020A"/>
    <w:rsid w:val="00060330"/>
    <w:rsid w:val="00060F5C"/>
    <w:rsid w:val="00061D77"/>
    <w:rsid w:val="00062720"/>
    <w:rsid w:val="00062EE6"/>
    <w:rsid w:val="00064AB2"/>
    <w:rsid w:val="00065191"/>
    <w:rsid w:val="00066063"/>
    <w:rsid w:val="0007067D"/>
    <w:rsid w:val="0007154C"/>
    <w:rsid w:val="00071789"/>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380"/>
    <w:rsid w:val="0013179E"/>
    <w:rsid w:val="00131A6C"/>
    <w:rsid w:val="00131E4C"/>
    <w:rsid w:val="00133B59"/>
    <w:rsid w:val="001363DF"/>
    <w:rsid w:val="00136716"/>
    <w:rsid w:val="00137465"/>
    <w:rsid w:val="00137E25"/>
    <w:rsid w:val="00137F36"/>
    <w:rsid w:val="001414E2"/>
    <w:rsid w:val="001434C3"/>
    <w:rsid w:val="00143E0A"/>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05F6"/>
    <w:rsid w:val="00171B57"/>
    <w:rsid w:val="0017238E"/>
    <w:rsid w:val="00176A16"/>
    <w:rsid w:val="00177E2C"/>
    <w:rsid w:val="00180992"/>
    <w:rsid w:val="00180FD2"/>
    <w:rsid w:val="00180FD4"/>
    <w:rsid w:val="00181509"/>
    <w:rsid w:val="00181965"/>
    <w:rsid w:val="001835AF"/>
    <w:rsid w:val="00185202"/>
    <w:rsid w:val="00187B69"/>
    <w:rsid w:val="0019050C"/>
    <w:rsid w:val="00190EC1"/>
    <w:rsid w:val="001921FB"/>
    <w:rsid w:val="00192E8C"/>
    <w:rsid w:val="0019377B"/>
    <w:rsid w:val="0019391D"/>
    <w:rsid w:val="00193F7B"/>
    <w:rsid w:val="00195579"/>
    <w:rsid w:val="001A0839"/>
    <w:rsid w:val="001A2B6B"/>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D4786"/>
    <w:rsid w:val="001E0AB3"/>
    <w:rsid w:val="001E1922"/>
    <w:rsid w:val="001E2071"/>
    <w:rsid w:val="001E31DF"/>
    <w:rsid w:val="001E4341"/>
    <w:rsid w:val="001E5580"/>
    <w:rsid w:val="001E5CFB"/>
    <w:rsid w:val="001E608B"/>
    <w:rsid w:val="001E69C1"/>
    <w:rsid w:val="001E7DCD"/>
    <w:rsid w:val="001E7FFA"/>
    <w:rsid w:val="001F0AFC"/>
    <w:rsid w:val="001F28F0"/>
    <w:rsid w:val="001F470F"/>
    <w:rsid w:val="001F4ACD"/>
    <w:rsid w:val="001F5105"/>
    <w:rsid w:val="001F6170"/>
    <w:rsid w:val="001F63D7"/>
    <w:rsid w:val="001F6ACF"/>
    <w:rsid w:val="001F6FB1"/>
    <w:rsid w:val="00200A4F"/>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11D"/>
    <w:rsid w:val="002224C4"/>
    <w:rsid w:val="00222701"/>
    <w:rsid w:val="002243D8"/>
    <w:rsid w:val="00224456"/>
    <w:rsid w:val="00225BEA"/>
    <w:rsid w:val="00225C1C"/>
    <w:rsid w:val="002264FA"/>
    <w:rsid w:val="002269C6"/>
    <w:rsid w:val="00230440"/>
    <w:rsid w:val="00230AAB"/>
    <w:rsid w:val="00231A19"/>
    <w:rsid w:val="00232081"/>
    <w:rsid w:val="00232DA1"/>
    <w:rsid w:val="002351A8"/>
    <w:rsid w:val="002351E6"/>
    <w:rsid w:val="002378BD"/>
    <w:rsid w:val="00237A4F"/>
    <w:rsid w:val="00237B26"/>
    <w:rsid w:val="00240303"/>
    <w:rsid w:val="0024180A"/>
    <w:rsid w:val="0024268D"/>
    <w:rsid w:val="00250442"/>
    <w:rsid w:val="00250A66"/>
    <w:rsid w:val="00250B8C"/>
    <w:rsid w:val="00254ACF"/>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7A5"/>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03A"/>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6A3D"/>
    <w:rsid w:val="00393D9D"/>
    <w:rsid w:val="00393E61"/>
    <w:rsid w:val="00396D02"/>
    <w:rsid w:val="003A0041"/>
    <w:rsid w:val="003A1C3E"/>
    <w:rsid w:val="003A2810"/>
    <w:rsid w:val="003A2970"/>
    <w:rsid w:val="003A409C"/>
    <w:rsid w:val="003A4D17"/>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168"/>
    <w:rsid w:val="003C72E2"/>
    <w:rsid w:val="003D07D2"/>
    <w:rsid w:val="003D5B84"/>
    <w:rsid w:val="003D6B19"/>
    <w:rsid w:val="003D6D0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153C3"/>
    <w:rsid w:val="00420D64"/>
    <w:rsid w:val="00424E85"/>
    <w:rsid w:val="00425BE9"/>
    <w:rsid w:val="00427072"/>
    <w:rsid w:val="0043585C"/>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9ED"/>
    <w:rsid w:val="004C65D5"/>
    <w:rsid w:val="004D1340"/>
    <w:rsid w:val="004D7295"/>
    <w:rsid w:val="004D7402"/>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5067"/>
    <w:rsid w:val="00567C67"/>
    <w:rsid w:val="00572013"/>
    <w:rsid w:val="00573257"/>
    <w:rsid w:val="00575240"/>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6EB"/>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42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07992"/>
    <w:rsid w:val="006123B6"/>
    <w:rsid w:val="00613977"/>
    <w:rsid w:val="0061487C"/>
    <w:rsid w:val="0061627D"/>
    <w:rsid w:val="0061771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1DD3"/>
    <w:rsid w:val="0067364F"/>
    <w:rsid w:val="00675CA1"/>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69CE"/>
    <w:rsid w:val="006B71FD"/>
    <w:rsid w:val="006C0661"/>
    <w:rsid w:val="006C0E3B"/>
    <w:rsid w:val="006C18AF"/>
    <w:rsid w:val="006C1D12"/>
    <w:rsid w:val="006C5EC9"/>
    <w:rsid w:val="006C7C8B"/>
    <w:rsid w:val="006C7C90"/>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6F3"/>
    <w:rsid w:val="006F7DB3"/>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3CB"/>
    <w:rsid w:val="00743BA0"/>
    <w:rsid w:val="00747DFD"/>
    <w:rsid w:val="007522E9"/>
    <w:rsid w:val="00753C3E"/>
    <w:rsid w:val="00754329"/>
    <w:rsid w:val="007547A1"/>
    <w:rsid w:val="00756A93"/>
    <w:rsid w:val="0075769A"/>
    <w:rsid w:val="00765DEF"/>
    <w:rsid w:val="00766E46"/>
    <w:rsid w:val="00770E6E"/>
    <w:rsid w:val="0077162D"/>
    <w:rsid w:val="00771A7C"/>
    <w:rsid w:val="0077230A"/>
    <w:rsid w:val="00772725"/>
    <w:rsid w:val="00773EB7"/>
    <w:rsid w:val="007751AA"/>
    <w:rsid w:val="00775B88"/>
    <w:rsid w:val="00777AD7"/>
    <w:rsid w:val="0078257B"/>
    <w:rsid w:val="00784C44"/>
    <w:rsid w:val="007912CE"/>
    <w:rsid w:val="007934C4"/>
    <w:rsid w:val="0079451D"/>
    <w:rsid w:val="00795966"/>
    <w:rsid w:val="00796315"/>
    <w:rsid w:val="007A04C8"/>
    <w:rsid w:val="007A3102"/>
    <w:rsid w:val="007A3B30"/>
    <w:rsid w:val="007A3FC0"/>
    <w:rsid w:val="007A49BA"/>
    <w:rsid w:val="007A609F"/>
    <w:rsid w:val="007A7484"/>
    <w:rsid w:val="007B2626"/>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7F6A77"/>
    <w:rsid w:val="00802E6E"/>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184C"/>
    <w:rsid w:val="00872D7E"/>
    <w:rsid w:val="008754E6"/>
    <w:rsid w:val="0087776F"/>
    <w:rsid w:val="00880D34"/>
    <w:rsid w:val="0088233C"/>
    <w:rsid w:val="0088280A"/>
    <w:rsid w:val="00883EB7"/>
    <w:rsid w:val="00884999"/>
    <w:rsid w:val="00892C9F"/>
    <w:rsid w:val="00892F4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6410"/>
    <w:rsid w:val="008F7FD5"/>
    <w:rsid w:val="00900EC1"/>
    <w:rsid w:val="00901214"/>
    <w:rsid w:val="00904D6D"/>
    <w:rsid w:val="00904EC8"/>
    <w:rsid w:val="00906951"/>
    <w:rsid w:val="0091187A"/>
    <w:rsid w:val="00912E6E"/>
    <w:rsid w:val="00912FBC"/>
    <w:rsid w:val="00913D3B"/>
    <w:rsid w:val="00913F75"/>
    <w:rsid w:val="009162AB"/>
    <w:rsid w:val="00916A91"/>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86F9D"/>
    <w:rsid w:val="00990CC8"/>
    <w:rsid w:val="0099227E"/>
    <w:rsid w:val="009949C5"/>
    <w:rsid w:val="009971A4"/>
    <w:rsid w:val="00997C10"/>
    <w:rsid w:val="009A19B2"/>
    <w:rsid w:val="009A6A30"/>
    <w:rsid w:val="009B3EC0"/>
    <w:rsid w:val="009B4878"/>
    <w:rsid w:val="009B5FE8"/>
    <w:rsid w:val="009B62B1"/>
    <w:rsid w:val="009B76C2"/>
    <w:rsid w:val="009C080D"/>
    <w:rsid w:val="009C142A"/>
    <w:rsid w:val="009C20C8"/>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6CBE"/>
    <w:rsid w:val="00A17296"/>
    <w:rsid w:val="00A17D28"/>
    <w:rsid w:val="00A21251"/>
    <w:rsid w:val="00A21621"/>
    <w:rsid w:val="00A22457"/>
    <w:rsid w:val="00A22900"/>
    <w:rsid w:val="00A26D18"/>
    <w:rsid w:val="00A27C7D"/>
    <w:rsid w:val="00A31E71"/>
    <w:rsid w:val="00A3312E"/>
    <w:rsid w:val="00A3340E"/>
    <w:rsid w:val="00A370E9"/>
    <w:rsid w:val="00A42248"/>
    <w:rsid w:val="00A426C8"/>
    <w:rsid w:val="00A42ABF"/>
    <w:rsid w:val="00A4427E"/>
    <w:rsid w:val="00A45398"/>
    <w:rsid w:val="00A46733"/>
    <w:rsid w:val="00A46ECF"/>
    <w:rsid w:val="00A477B8"/>
    <w:rsid w:val="00A47AD5"/>
    <w:rsid w:val="00A47F03"/>
    <w:rsid w:val="00A5003E"/>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24AF"/>
    <w:rsid w:val="00A760E0"/>
    <w:rsid w:val="00A77E76"/>
    <w:rsid w:val="00A80090"/>
    <w:rsid w:val="00A801C6"/>
    <w:rsid w:val="00A82646"/>
    <w:rsid w:val="00A85A64"/>
    <w:rsid w:val="00A92430"/>
    <w:rsid w:val="00A92ADC"/>
    <w:rsid w:val="00A93118"/>
    <w:rsid w:val="00A93D4E"/>
    <w:rsid w:val="00A94333"/>
    <w:rsid w:val="00A94C5E"/>
    <w:rsid w:val="00A950F7"/>
    <w:rsid w:val="00A951C4"/>
    <w:rsid w:val="00A97D90"/>
    <w:rsid w:val="00AA3EC5"/>
    <w:rsid w:val="00AA48F5"/>
    <w:rsid w:val="00AA4B39"/>
    <w:rsid w:val="00AA512B"/>
    <w:rsid w:val="00AA59BE"/>
    <w:rsid w:val="00AA59DA"/>
    <w:rsid w:val="00AA608B"/>
    <w:rsid w:val="00AA77C0"/>
    <w:rsid w:val="00AB1CD7"/>
    <w:rsid w:val="00AB1F5C"/>
    <w:rsid w:val="00AB36FD"/>
    <w:rsid w:val="00AB4311"/>
    <w:rsid w:val="00AB49DA"/>
    <w:rsid w:val="00AB59A7"/>
    <w:rsid w:val="00AB68F7"/>
    <w:rsid w:val="00AC06A7"/>
    <w:rsid w:val="00AC077B"/>
    <w:rsid w:val="00AC0C82"/>
    <w:rsid w:val="00AC1F08"/>
    <w:rsid w:val="00AC374E"/>
    <w:rsid w:val="00AC60ED"/>
    <w:rsid w:val="00AD2373"/>
    <w:rsid w:val="00AD4DF3"/>
    <w:rsid w:val="00AD564C"/>
    <w:rsid w:val="00AD581E"/>
    <w:rsid w:val="00AD5DF4"/>
    <w:rsid w:val="00AD7639"/>
    <w:rsid w:val="00AE3182"/>
    <w:rsid w:val="00AE43A3"/>
    <w:rsid w:val="00AF095A"/>
    <w:rsid w:val="00AF1119"/>
    <w:rsid w:val="00AF59C3"/>
    <w:rsid w:val="00B011BB"/>
    <w:rsid w:val="00B012F2"/>
    <w:rsid w:val="00B0163B"/>
    <w:rsid w:val="00B04312"/>
    <w:rsid w:val="00B0539A"/>
    <w:rsid w:val="00B06669"/>
    <w:rsid w:val="00B06A05"/>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0DC"/>
    <w:rsid w:val="00B354F3"/>
    <w:rsid w:val="00B357AE"/>
    <w:rsid w:val="00B37E57"/>
    <w:rsid w:val="00B41D5E"/>
    <w:rsid w:val="00B42FA5"/>
    <w:rsid w:val="00B437D2"/>
    <w:rsid w:val="00B44A34"/>
    <w:rsid w:val="00B514D3"/>
    <w:rsid w:val="00B51BC7"/>
    <w:rsid w:val="00B52134"/>
    <w:rsid w:val="00B52FF6"/>
    <w:rsid w:val="00B56063"/>
    <w:rsid w:val="00B568CB"/>
    <w:rsid w:val="00B570B0"/>
    <w:rsid w:val="00B57714"/>
    <w:rsid w:val="00B61020"/>
    <w:rsid w:val="00B61620"/>
    <w:rsid w:val="00B64061"/>
    <w:rsid w:val="00B65BB6"/>
    <w:rsid w:val="00B67FA4"/>
    <w:rsid w:val="00B7048C"/>
    <w:rsid w:val="00B712AD"/>
    <w:rsid w:val="00B71D8A"/>
    <w:rsid w:val="00B72795"/>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E523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1CC4"/>
    <w:rsid w:val="00C322BB"/>
    <w:rsid w:val="00C33540"/>
    <w:rsid w:val="00C350F2"/>
    <w:rsid w:val="00C35B73"/>
    <w:rsid w:val="00C35B8F"/>
    <w:rsid w:val="00C35FBE"/>
    <w:rsid w:val="00C3666D"/>
    <w:rsid w:val="00C40B8C"/>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C45"/>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2250"/>
    <w:rsid w:val="00C8516B"/>
    <w:rsid w:val="00C854C1"/>
    <w:rsid w:val="00C85B81"/>
    <w:rsid w:val="00C9178F"/>
    <w:rsid w:val="00C93F76"/>
    <w:rsid w:val="00C957AC"/>
    <w:rsid w:val="00C9655A"/>
    <w:rsid w:val="00C96FCA"/>
    <w:rsid w:val="00C9754D"/>
    <w:rsid w:val="00C975DF"/>
    <w:rsid w:val="00CA5D84"/>
    <w:rsid w:val="00CC1960"/>
    <w:rsid w:val="00CC2B02"/>
    <w:rsid w:val="00CD4F70"/>
    <w:rsid w:val="00CD626B"/>
    <w:rsid w:val="00CE140E"/>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216A"/>
    <w:rsid w:val="00D534EA"/>
    <w:rsid w:val="00D540A4"/>
    <w:rsid w:val="00D54DBC"/>
    <w:rsid w:val="00D570F3"/>
    <w:rsid w:val="00D574D9"/>
    <w:rsid w:val="00D61C85"/>
    <w:rsid w:val="00D624E5"/>
    <w:rsid w:val="00D6320E"/>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C72F0"/>
    <w:rsid w:val="00DD0E87"/>
    <w:rsid w:val="00DD2BCD"/>
    <w:rsid w:val="00DD35E7"/>
    <w:rsid w:val="00DD5486"/>
    <w:rsid w:val="00DD650E"/>
    <w:rsid w:val="00DD7350"/>
    <w:rsid w:val="00DD7968"/>
    <w:rsid w:val="00DE0B7E"/>
    <w:rsid w:val="00DE1418"/>
    <w:rsid w:val="00DE2004"/>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2A2F"/>
    <w:rsid w:val="00E339EE"/>
    <w:rsid w:val="00E3557A"/>
    <w:rsid w:val="00E4014C"/>
    <w:rsid w:val="00E401FC"/>
    <w:rsid w:val="00E40DF0"/>
    <w:rsid w:val="00E42615"/>
    <w:rsid w:val="00E42D1B"/>
    <w:rsid w:val="00E4558E"/>
    <w:rsid w:val="00E46C0B"/>
    <w:rsid w:val="00E46FAB"/>
    <w:rsid w:val="00E474DC"/>
    <w:rsid w:val="00E5155C"/>
    <w:rsid w:val="00E52FF2"/>
    <w:rsid w:val="00E532EF"/>
    <w:rsid w:val="00E5385B"/>
    <w:rsid w:val="00E55EA9"/>
    <w:rsid w:val="00E56307"/>
    <w:rsid w:val="00E56D55"/>
    <w:rsid w:val="00E56F52"/>
    <w:rsid w:val="00E5795E"/>
    <w:rsid w:val="00E57BBE"/>
    <w:rsid w:val="00E57D47"/>
    <w:rsid w:val="00E57F76"/>
    <w:rsid w:val="00E60696"/>
    <w:rsid w:val="00E607BC"/>
    <w:rsid w:val="00E6152A"/>
    <w:rsid w:val="00E619D6"/>
    <w:rsid w:val="00E62028"/>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59"/>
    <w:rsid w:val="00EE10AE"/>
    <w:rsid w:val="00EE2DA2"/>
    <w:rsid w:val="00EE4290"/>
    <w:rsid w:val="00EE589E"/>
    <w:rsid w:val="00EE76D0"/>
    <w:rsid w:val="00EE7C89"/>
    <w:rsid w:val="00EE7FB7"/>
    <w:rsid w:val="00EF1185"/>
    <w:rsid w:val="00EF754D"/>
    <w:rsid w:val="00F02752"/>
    <w:rsid w:val="00F027E9"/>
    <w:rsid w:val="00F02B6A"/>
    <w:rsid w:val="00F0775E"/>
    <w:rsid w:val="00F07FC0"/>
    <w:rsid w:val="00F15BF4"/>
    <w:rsid w:val="00F15F69"/>
    <w:rsid w:val="00F1612D"/>
    <w:rsid w:val="00F173DD"/>
    <w:rsid w:val="00F21119"/>
    <w:rsid w:val="00F25164"/>
    <w:rsid w:val="00F277D3"/>
    <w:rsid w:val="00F30997"/>
    <w:rsid w:val="00F32896"/>
    <w:rsid w:val="00F337E2"/>
    <w:rsid w:val="00F33C08"/>
    <w:rsid w:val="00F35ADB"/>
    <w:rsid w:val="00F40687"/>
    <w:rsid w:val="00F413B9"/>
    <w:rsid w:val="00F41AE7"/>
    <w:rsid w:val="00F41F44"/>
    <w:rsid w:val="00F42D17"/>
    <w:rsid w:val="00F44DE7"/>
    <w:rsid w:val="00F457A0"/>
    <w:rsid w:val="00F46492"/>
    <w:rsid w:val="00F477B5"/>
    <w:rsid w:val="00F47B01"/>
    <w:rsid w:val="00F5057E"/>
    <w:rsid w:val="00F511F8"/>
    <w:rsid w:val="00F52D86"/>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D5C86"/>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FollowedHyperlink">
    <w:name w:val="FollowedHyperlink"/>
    <w:basedOn w:val="DefaultParagraphFont"/>
    <w:uiPriority w:val="99"/>
    <w:semiHidden/>
    <w:unhideWhenUsed/>
    <w:rsid w:val="00237A4F"/>
    <w:rPr>
      <w:color w:val="800080" w:themeColor="followedHyperlink"/>
      <w:u w:val="single"/>
    </w:rPr>
  </w:style>
  <w:style w:type="character" w:customStyle="1" w:styleId="block">
    <w:name w:val="block"/>
    <w:basedOn w:val="DefaultParagraphFont"/>
    <w:rsid w:val="001921FB"/>
  </w:style>
  <w:style w:type="character" w:customStyle="1" w:styleId="hgkelc">
    <w:name w:val="hgkelc"/>
    <w:basedOn w:val="DefaultParagraphFont"/>
    <w:rsid w:val="00B52FF6"/>
  </w:style>
  <w:style w:type="character" w:customStyle="1" w:styleId="whitespace-nowrap">
    <w:name w:val="whitespace-nowrap"/>
    <w:basedOn w:val="DefaultParagraphFont"/>
    <w:rsid w:val="004153C3"/>
  </w:style>
  <w:style w:type="character" w:styleId="CommentReference">
    <w:name w:val="annotation reference"/>
    <w:basedOn w:val="DefaultParagraphFont"/>
    <w:uiPriority w:val="99"/>
    <w:semiHidden/>
    <w:unhideWhenUsed/>
    <w:rsid w:val="00AA59DA"/>
    <w:rPr>
      <w:sz w:val="16"/>
      <w:szCs w:val="16"/>
    </w:rPr>
  </w:style>
  <w:style w:type="paragraph" w:styleId="CommentText">
    <w:name w:val="annotation text"/>
    <w:basedOn w:val="Normal"/>
    <w:link w:val="CommentTextChar"/>
    <w:uiPriority w:val="99"/>
    <w:semiHidden/>
    <w:unhideWhenUsed/>
    <w:rsid w:val="00AA59DA"/>
  </w:style>
  <w:style w:type="character" w:customStyle="1" w:styleId="CommentTextChar">
    <w:name w:val="Comment Text Char"/>
    <w:basedOn w:val="DefaultParagraphFont"/>
    <w:link w:val="CommentText"/>
    <w:uiPriority w:val="99"/>
    <w:semiHidden/>
    <w:rsid w:val="00AA59DA"/>
  </w:style>
  <w:style w:type="paragraph" w:styleId="CommentSubject">
    <w:name w:val="annotation subject"/>
    <w:basedOn w:val="CommentText"/>
    <w:next w:val="CommentText"/>
    <w:link w:val="CommentSubjectChar"/>
    <w:uiPriority w:val="99"/>
    <w:semiHidden/>
    <w:unhideWhenUsed/>
    <w:rsid w:val="00AA59DA"/>
    <w:rPr>
      <w:b/>
      <w:bCs/>
    </w:rPr>
  </w:style>
  <w:style w:type="character" w:customStyle="1" w:styleId="CommentSubjectChar">
    <w:name w:val="Comment Subject Char"/>
    <w:basedOn w:val="CommentTextChar"/>
    <w:link w:val="CommentSubject"/>
    <w:uiPriority w:val="99"/>
    <w:semiHidden/>
    <w:rsid w:val="00AA5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2272703">
      <w:bodyDiv w:val="1"/>
      <w:marLeft w:val="0"/>
      <w:marRight w:val="0"/>
      <w:marTop w:val="0"/>
      <w:marBottom w:val="0"/>
      <w:divBdr>
        <w:top w:val="none" w:sz="0" w:space="0" w:color="auto"/>
        <w:left w:val="none" w:sz="0" w:space="0" w:color="auto"/>
        <w:bottom w:val="none" w:sz="0" w:space="0" w:color="auto"/>
        <w:right w:val="none" w:sz="0" w:space="0" w:color="auto"/>
      </w:divBdr>
      <w:divsChild>
        <w:div w:id="669868705">
          <w:marLeft w:val="0"/>
          <w:marRight w:val="0"/>
          <w:marTop w:val="0"/>
          <w:marBottom w:val="45"/>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32B25-E1E4-40E0-B142-CDAE5A97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38097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Lenovo Lenovo</cp:lastModifiedBy>
  <cp:revision>9</cp:revision>
  <cp:lastPrinted>2021-08-05T08:35:00Z</cp:lastPrinted>
  <dcterms:created xsi:type="dcterms:W3CDTF">2025-07-16T04:01:00Z</dcterms:created>
  <dcterms:modified xsi:type="dcterms:W3CDTF">2025-08-03T07:08:00Z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e34d82d5-b507-355d-8d83-8f3453f30eab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